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8B6E" w14:textId="77777777" w:rsidR="000D1251" w:rsidRPr="00135E1B" w:rsidRDefault="001A78B5">
      <w:pPr>
        <w:pStyle w:val="2"/>
        <w:numPr>
          <w:ilvl w:val="0"/>
          <w:numId w:val="0"/>
        </w:numPr>
        <w:spacing w:before="0" w:after="0" w:line="360" w:lineRule="auto"/>
        <w:jc w:val="center"/>
        <w:rPr>
          <w:rFonts w:asciiTheme="majorEastAsia" w:eastAsiaTheme="majorEastAsia" w:hAnsiTheme="majorEastAsia" w:cstheme="majorEastAsia"/>
          <w:sz w:val="28"/>
          <w:szCs w:val="28"/>
        </w:rPr>
      </w:pPr>
      <w:bookmarkStart w:id="0" w:name="_Toc149918193"/>
      <w:bookmarkStart w:id="1" w:name="_Toc144124424"/>
      <w:bookmarkStart w:id="2" w:name="_Toc149918192"/>
      <w:bookmarkStart w:id="3" w:name="_Toc149918194"/>
      <w:bookmarkStart w:id="4" w:name="_Toc154976554"/>
      <w:r w:rsidRPr="00135E1B">
        <w:rPr>
          <w:rFonts w:asciiTheme="majorEastAsia" w:eastAsiaTheme="majorEastAsia" w:hAnsiTheme="majorEastAsia" w:cstheme="majorEastAsia" w:hint="eastAsia"/>
          <w:bCs w:val="0"/>
          <w:sz w:val="28"/>
          <w:szCs w:val="28"/>
        </w:rPr>
        <w:t>企业基本情况和企业所得税汇算清缴审核事项说明</w:t>
      </w:r>
    </w:p>
    <w:p w14:paraId="5806F71E" w14:textId="77777777" w:rsidR="000D1251" w:rsidRPr="00135E1B" w:rsidRDefault="000D1251">
      <w:pPr>
        <w:spacing w:line="360" w:lineRule="auto"/>
        <w:ind w:firstLineChars="200" w:firstLine="420"/>
        <w:rPr>
          <w:rFonts w:asciiTheme="minorEastAsia" w:eastAsiaTheme="minorEastAsia" w:hAnsiTheme="minorEastAsia" w:cstheme="minorEastAsia"/>
        </w:rPr>
      </w:pPr>
    </w:p>
    <w:bookmarkEnd w:id="0"/>
    <w:p w14:paraId="1E4312FE" w14:textId="77777777" w:rsidR="000D1251" w:rsidRPr="00135E1B" w:rsidRDefault="001A78B5">
      <w:pPr>
        <w:snapToGrid w:val="0"/>
        <w:spacing w:line="360" w:lineRule="auto"/>
        <w:ind w:leftChars="200" w:left="420" w:firstLineChars="200" w:firstLine="442"/>
        <w:rPr>
          <w:rFonts w:asciiTheme="minorEastAsia" w:eastAsiaTheme="minorEastAsia" w:hAnsiTheme="minorEastAsia" w:cstheme="minorEastAsia"/>
          <w:b/>
          <w:sz w:val="22"/>
          <w:szCs w:val="22"/>
        </w:rPr>
      </w:pPr>
      <w:r w:rsidRPr="00135E1B">
        <w:rPr>
          <w:rFonts w:asciiTheme="minorEastAsia" w:eastAsiaTheme="minorEastAsia" w:hAnsiTheme="minorEastAsia" w:cstheme="minorEastAsia" w:hint="eastAsia"/>
          <w:b/>
          <w:sz w:val="22"/>
          <w:szCs w:val="22"/>
        </w:rPr>
        <w:t>一、企业基本情况</w:t>
      </w:r>
    </w:p>
    <w:p w14:paraId="0E3C4CA1" w14:textId="064656F1"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1、成立日期：</w:t>
      </w:r>
    </w:p>
    <w:p w14:paraId="3A54725D" w14:textId="5064FB76"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2、注册地址：</w:t>
      </w:r>
    </w:p>
    <w:p w14:paraId="54B42443" w14:textId="18961309"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3、法定代表人：</w:t>
      </w:r>
      <w:r w:rsidR="00E2097B" w:rsidRPr="00135E1B">
        <w:rPr>
          <w:rFonts w:asciiTheme="minorEastAsia" w:eastAsiaTheme="minorEastAsia" w:hAnsiTheme="minorEastAsia" w:cstheme="minorEastAsia"/>
          <w:color w:val="FF0000"/>
          <w:sz w:val="24"/>
        </w:rPr>
        <w:t xml:space="preserve"> </w:t>
      </w:r>
    </w:p>
    <w:p w14:paraId="1DE00D50" w14:textId="71E18B93"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4、注册资本：</w:t>
      </w:r>
      <w:r w:rsidR="00E2097B" w:rsidRPr="00135E1B">
        <w:rPr>
          <w:rFonts w:asciiTheme="minorEastAsia" w:eastAsiaTheme="minorEastAsia" w:hAnsiTheme="minorEastAsia" w:cstheme="minorEastAsia"/>
          <w:color w:val="FF0000"/>
          <w:sz w:val="24"/>
        </w:rPr>
        <w:t xml:space="preserve"> </w:t>
      </w:r>
    </w:p>
    <w:p w14:paraId="376B69EA"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出资者及其出资比例如下：</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68"/>
        <w:gridCol w:w="2295"/>
      </w:tblGrid>
      <w:tr w:rsidR="00135E1B" w:rsidRPr="00135E1B" w14:paraId="1DE03336" w14:textId="77777777" w:rsidTr="000E0B8D">
        <w:trPr>
          <w:trHeight w:val="281"/>
        </w:trPr>
        <w:tc>
          <w:tcPr>
            <w:tcW w:w="4644" w:type="dxa"/>
            <w:shd w:val="clear" w:color="auto" w:fill="auto"/>
            <w:vAlign w:val="center"/>
          </w:tcPr>
          <w:p w14:paraId="2ECB0429" w14:textId="77777777" w:rsidR="000D6164" w:rsidRPr="00135E1B" w:rsidRDefault="000D6164">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投资者</w:t>
            </w:r>
          </w:p>
        </w:tc>
        <w:tc>
          <w:tcPr>
            <w:tcW w:w="2268" w:type="dxa"/>
            <w:shd w:val="clear" w:color="auto" w:fill="auto"/>
            <w:vAlign w:val="center"/>
          </w:tcPr>
          <w:p w14:paraId="3D6B5DAE" w14:textId="77777777" w:rsidR="000D6164" w:rsidRPr="00135E1B" w:rsidRDefault="000D6164">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投资总额（万元）</w:t>
            </w:r>
          </w:p>
        </w:tc>
        <w:tc>
          <w:tcPr>
            <w:tcW w:w="2295" w:type="dxa"/>
            <w:shd w:val="clear" w:color="auto" w:fill="auto"/>
            <w:vAlign w:val="center"/>
          </w:tcPr>
          <w:p w14:paraId="5AF5AC4F" w14:textId="77777777" w:rsidR="000D6164" w:rsidRPr="00135E1B" w:rsidRDefault="000D6164">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投资比例</w:t>
            </w:r>
          </w:p>
        </w:tc>
      </w:tr>
      <w:tr w:rsidR="00135E1B" w:rsidRPr="00135E1B" w14:paraId="4A6F1134" w14:textId="77777777" w:rsidTr="000E0B8D">
        <w:trPr>
          <w:trHeight w:val="281"/>
        </w:trPr>
        <w:tc>
          <w:tcPr>
            <w:tcW w:w="4644" w:type="dxa"/>
            <w:shd w:val="clear" w:color="auto" w:fill="auto"/>
            <w:vAlign w:val="center"/>
          </w:tcPr>
          <w:p w14:paraId="3D19504C" w14:textId="39CBAC23" w:rsidR="000D6164" w:rsidRPr="00135E1B" w:rsidRDefault="000D6164">
            <w:pPr>
              <w:widowControl/>
              <w:spacing w:line="400" w:lineRule="exact"/>
              <w:jc w:val="left"/>
              <w:rPr>
                <w:rFonts w:asciiTheme="minorEastAsia" w:eastAsiaTheme="minorEastAsia" w:hAnsiTheme="minorEastAsia" w:cstheme="minorEastAsia"/>
                <w:color w:val="FF0000"/>
                <w:kern w:val="0"/>
                <w:sz w:val="24"/>
              </w:rPr>
            </w:pPr>
          </w:p>
        </w:tc>
        <w:tc>
          <w:tcPr>
            <w:tcW w:w="2268" w:type="dxa"/>
            <w:shd w:val="clear" w:color="auto" w:fill="auto"/>
            <w:vAlign w:val="center"/>
          </w:tcPr>
          <w:p w14:paraId="0F2A377F" w14:textId="4AE7CDB6" w:rsidR="000D6164" w:rsidRPr="00135E1B" w:rsidRDefault="000D6164">
            <w:pPr>
              <w:widowControl/>
              <w:spacing w:line="400" w:lineRule="exact"/>
              <w:jc w:val="right"/>
              <w:rPr>
                <w:rFonts w:asciiTheme="minorEastAsia" w:eastAsiaTheme="minorEastAsia" w:hAnsiTheme="minorEastAsia" w:cstheme="minorEastAsia"/>
                <w:color w:val="FF0000"/>
                <w:kern w:val="0"/>
                <w:sz w:val="24"/>
              </w:rPr>
            </w:pPr>
          </w:p>
        </w:tc>
        <w:tc>
          <w:tcPr>
            <w:tcW w:w="2295" w:type="dxa"/>
            <w:shd w:val="clear" w:color="auto" w:fill="auto"/>
            <w:vAlign w:val="center"/>
          </w:tcPr>
          <w:p w14:paraId="619FCC57" w14:textId="74B47B36" w:rsidR="000D6164" w:rsidRPr="00135E1B" w:rsidRDefault="000D6164">
            <w:pPr>
              <w:widowControl/>
              <w:spacing w:line="400" w:lineRule="exact"/>
              <w:jc w:val="right"/>
              <w:rPr>
                <w:rFonts w:asciiTheme="minorEastAsia" w:eastAsiaTheme="minorEastAsia" w:hAnsiTheme="minorEastAsia" w:cstheme="minorEastAsia"/>
                <w:color w:val="FF0000"/>
                <w:kern w:val="0"/>
                <w:sz w:val="24"/>
              </w:rPr>
            </w:pPr>
          </w:p>
        </w:tc>
      </w:tr>
      <w:tr w:rsidR="000E0B8D" w:rsidRPr="00135E1B" w14:paraId="5C0B0E7E" w14:textId="77777777" w:rsidTr="000E0B8D">
        <w:trPr>
          <w:trHeight w:val="281"/>
        </w:trPr>
        <w:tc>
          <w:tcPr>
            <w:tcW w:w="4644" w:type="dxa"/>
            <w:shd w:val="clear" w:color="auto" w:fill="auto"/>
            <w:vAlign w:val="center"/>
          </w:tcPr>
          <w:p w14:paraId="72E4ED73" w14:textId="60E5D44B" w:rsidR="000E0B8D" w:rsidRPr="00135E1B" w:rsidRDefault="000E0B8D">
            <w:pPr>
              <w:widowControl/>
              <w:spacing w:line="400" w:lineRule="exact"/>
              <w:jc w:val="left"/>
              <w:rPr>
                <w:rFonts w:asciiTheme="minorEastAsia" w:eastAsiaTheme="minorEastAsia" w:hAnsiTheme="minorEastAsia" w:cstheme="minorEastAsia"/>
                <w:color w:val="FF0000"/>
                <w:kern w:val="0"/>
                <w:sz w:val="24"/>
              </w:rPr>
            </w:pPr>
          </w:p>
        </w:tc>
        <w:tc>
          <w:tcPr>
            <w:tcW w:w="2268" w:type="dxa"/>
            <w:shd w:val="clear" w:color="auto" w:fill="auto"/>
            <w:vAlign w:val="center"/>
          </w:tcPr>
          <w:p w14:paraId="53763DE7" w14:textId="34D16A3F" w:rsidR="000E0B8D" w:rsidRPr="00135E1B" w:rsidRDefault="000E0B8D">
            <w:pPr>
              <w:widowControl/>
              <w:spacing w:line="400" w:lineRule="exact"/>
              <w:jc w:val="right"/>
              <w:rPr>
                <w:rFonts w:asciiTheme="minorEastAsia" w:eastAsiaTheme="minorEastAsia" w:hAnsiTheme="minorEastAsia" w:cstheme="minorEastAsia"/>
                <w:color w:val="FF0000"/>
                <w:kern w:val="0"/>
                <w:sz w:val="24"/>
              </w:rPr>
            </w:pPr>
          </w:p>
        </w:tc>
        <w:tc>
          <w:tcPr>
            <w:tcW w:w="2295" w:type="dxa"/>
            <w:shd w:val="clear" w:color="auto" w:fill="auto"/>
            <w:vAlign w:val="center"/>
          </w:tcPr>
          <w:p w14:paraId="7A319AC2" w14:textId="55979F91" w:rsidR="000E0B8D" w:rsidRPr="00135E1B" w:rsidRDefault="000E0B8D">
            <w:pPr>
              <w:widowControl/>
              <w:spacing w:line="400" w:lineRule="exact"/>
              <w:jc w:val="right"/>
              <w:rPr>
                <w:rFonts w:asciiTheme="minorEastAsia" w:eastAsiaTheme="minorEastAsia" w:hAnsiTheme="minorEastAsia" w:cstheme="minorEastAsia"/>
                <w:color w:val="FF0000"/>
                <w:kern w:val="0"/>
                <w:sz w:val="24"/>
              </w:rPr>
            </w:pPr>
          </w:p>
        </w:tc>
      </w:tr>
      <w:tr w:rsidR="000E0B8D" w:rsidRPr="00135E1B" w14:paraId="7A1A3FE7" w14:textId="77777777" w:rsidTr="000E0B8D">
        <w:trPr>
          <w:trHeight w:val="281"/>
        </w:trPr>
        <w:tc>
          <w:tcPr>
            <w:tcW w:w="4644" w:type="dxa"/>
            <w:shd w:val="clear" w:color="auto" w:fill="auto"/>
            <w:vAlign w:val="center"/>
          </w:tcPr>
          <w:p w14:paraId="0EFCE204" w14:textId="05052FDE" w:rsidR="000E0B8D" w:rsidRPr="00135E1B" w:rsidRDefault="000E0B8D">
            <w:pPr>
              <w:widowControl/>
              <w:spacing w:line="400" w:lineRule="exact"/>
              <w:jc w:val="left"/>
              <w:rPr>
                <w:rFonts w:asciiTheme="minorEastAsia" w:eastAsiaTheme="minorEastAsia" w:hAnsiTheme="minorEastAsia" w:cstheme="minorEastAsia"/>
                <w:color w:val="FF0000"/>
                <w:kern w:val="0"/>
                <w:sz w:val="24"/>
              </w:rPr>
            </w:pPr>
          </w:p>
        </w:tc>
        <w:tc>
          <w:tcPr>
            <w:tcW w:w="2268" w:type="dxa"/>
            <w:shd w:val="clear" w:color="auto" w:fill="auto"/>
            <w:vAlign w:val="center"/>
          </w:tcPr>
          <w:p w14:paraId="16777744" w14:textId="74F563DE" w:rsidR="000E0B8D" w:rsidRPr="00135E1B" w:rsidRDefault="000E0B8D">
            <w:pPr>
              <w:widowControl/>
              <w:spacing w:line="400" w:lineRule="exact"/>
              <w:jc w:val="right"/>
              <w:rPr>
                <w:rFonts w:asciiTheme="minorEastAsia" w:eastAsiaTheme="minorEastAsia" w:hAnsiTheme="minorEastAsia" w:cstheme="minorEastAsia"/>
                <w:color w:val="FF0000"/>
                <w:kern w:val="0"/>
                <w:sz w:val="24"/>
              </w:rPr>
            </w:pPr>
          </w:p>
        </w:tc>
        <w:tc>
          <w:tcPr>
            <w:tcW w:w="2295" w:type="dxa"/>
            <w:shd w:val="clear" w:color="auto" w:fill="auto"/>
            <w:vAlign w:val="center"/>
          </w:tcPr>
          <w:p w14:paraId="00272DF2" w14:textId="6C0E202E" w:rsidR="000E0B8D" w:rsidRPr="00135E1B" w:rsidRDefault="000E0B8D">
            <w:pPr>
              <w:widowControl/>
              <w:spacing w:line="400" w:lineRule="exact"/>
              <w:jc w:val="right"/>
              <w:rPr>
                <w:rFonts w:asciiTheme="minorEastAsia" w:eastAsiaTheme="minorEastAsia" w:hAnsiTheme="minorEastAsia" w:cstheme="minorEastAsia"/>
                <w:color w:val="FF0000"/>
                <w:kern w:val="0"/>
                <w:sz w:val="24"/>
              </w:rPr>
            </w:pPr>
          </w:p>
        </w:tc>
      </w:tr>
      <w:tr w:rsidR="00135E1B" w:rsidRPr="00135E1B" w14:paraId="7BBC2FFB" w14:textId="77777777" w:rsidTr="000E0B8D">
        <w:trPr>
          <w:trHeight w:val="281"/>
        </w:trPr>
        <w:tc>
          <w:tcPr>
            <w:tcW w:w="4644" w:type="dxa"/>
            <w:shd w:val="clear" w:color="auto" w:fill="auto"/>
            <w:vAlign w:val="center"/>
          </w:tcPr>
          <w:p w14:paraId="5C05B366" w14:textId="77777777" w:rsidR="000D6164" w:rsidRPr="00135E1B" w:rsidRDefault="000D6164" w:rsidP="00473A82">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合计</w:t>
            </w:r>
          </w:p>
        </w:tc>
        <w:tc>
          <w:tcPr>
            <w:tcW w:w="2268" w:type="dxa"/>
            <w:shd w:val="clear" w:color="auto" w:fill="auto"/>
            <w:vAlign w:val="center"/>
          </w:tcPr>
          <w:p w14:paraId="61C0404C" w14:textId="21C72E68" w:rsidR="000D6164" w:rsidRPr="00135E1B" w:rsidRDefault="000D6164">
            <w:pPr>
              <w:widowControl/>
              <w:spacing w:line="400" w:lineRule="exact"/>
              <w:jc w:val="right"/>
              <w:rPr>
                <w:rFonts w:asciiTheme="minorEastAsia" w:eastAsiaTheme="minorEastAsia" w:hAnsiTheme="minorEastAsia" w:cstheme="minorEastAsia"/>
                <w:color w:val="FF0000"/>
                <w:kern w:val="0"/>
                <w:sz w:val="24"/>
              </w:rPr>
            </w:pPr>
          </w:p>
        </w:tc>
        <w:tc>
          <w:tcPr>
            <w:tcW w:w="2295" w:type="dxa"/>
            <w:shd w:val="clear" w:color="auto" w:fill="auto"/>
            <w:vAlign w:val="center"/>
          </w:tcPr>
          <w:p w14:paraId="276F8132" w14:textId="330A00A3" w:rsidR="000D6164" w:rsidRPr="00135E1B" w:rsidRDefault="000D6164">
            <w:pPr>
              <w:widowControl/>
              <w:spacing w:line="400" w:lineRule="exact"/>
              <w:jc w:val="right"/>
              <w:rPr>
                <w:rFonts w:asciiTheme="minorEastAsia" w:eastAsiaTheme="minorEastAsia" w:hAnsiTheme="minorEastAsia" w:cstheme="minorEastAsia"/>
                <w:color w:val="FF0000"/>
                <w:kern w:val="0"/>
                <w:sz w:val="24"/>
              </w:rPr>
            </w:pPr>
          </w:p>
        </w:tc>
      </w:tr>
    </w:tbl>
    <w:p w14:paraId="7D89A1B2" w14:textId="0BB496D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5、实收资本：</w:t>
      </w:r>
      <w:r w:rsidR="00E2097B" w:rsidRPr="00135E1B">
        <w:rPr>
          <w:rFonts w:asciiTheme="minorEastAsia" w:eastAsiaTheme="minorEastAsia" w:hAnsiTheme="minorEastAsia" w:cstheme="minorEastAsia"/>
          <w:color w:val="FF0000"/>
          <w:sz w:val="24"/>
        </w:rPr>
        <w:t xml:space="preserve"> </w:t>
      </w:r>
    </w:p>
    <w:p w14:paraId="240D3110" w14:textId="15A72ABB"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6、企业类型:</w:t>
      </w:r>
      <w:r w:rsidR="00E2097B" w:rsidRPr="00135E1B">
        <w:rPr>
          <w:rFonts w:asciiTheme="minorEastAsia" w:eastAsiaTheme="minorEastAsia" w:hAnsiTheme="minorEastAsia" w:cstheme="minorEastAsia"/>
          <w:color w:val="FF0000"/>
          <w:sz w:val="24"/>
        </w:rPr>
        <w:t xml:space="preserve"> </w:t>
      </w:r>
    </w:p>
    <w:p w14:paraId="491FE78D" w14:textId="469F65CC" w:rsidR="000D1251" w:rsidRPr="00135E1B" w:rsidRDefault="00F33217">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color w:val="FF0000"/>
          <w:sz w:val="24"/>
        </w:rPr>
        <w:t>7</w:t>
      </w:r>
      <w:r w:rsidR="001A78B5" w:rsidRPr="00135E1B">
        <w:rPr>
          <w:rFonts w:asciiTheme="minorEastAsia" w:eastAsiaTheme="minorEastAsia" w:hAnsiTheme="minorEastAsia" w:cstheme="minorEastAsia" w:hint="eastAsia"/>
          <w:color w:val="FF0000"/>
          <w:sz w:val="24"/>
        </w:rPr>
        <w:t>、纳税识别号：</w:t>
      </w:r>
      <w:r w:rsidR="00E2097B" w:rsidRPr="00135E1B">
        <w:rPr>
          <w:rFonts w:asciiTheme="minorEastAsia" w:eastAsiaTheme="minorEastAsia" w:hAnsiTheme="minorEastAsia" w:cstheme="minorEastAsia"/>
          <w:color w:val="FF0000"/>
          <w:sz w:val="24"/>
        </w:rPr>
        <w:t xml:space="preserve"> </w:t>
      </w:r>
    </w:p>
    <w:p w14:paraId="6802FA4A" w14:textId="66CCF0BE" w:rsidR="000D1251" w:rsidRPr="00135E1B" w:rsidRDefault="00F33217">
      <w:pPr>
        <w:spacing w:line="360" w:lineRule="auto"/>
        <w:ind w:firstLineChars="200" w:firstLine="480"/>
        <w:rPr>
          <w:rFonts w:asciiTheme="minorEastAsia" w:eastAsiaTheme="minorEastAsia" w:hAnsiTheme="minorEastAsia" w:cstheme="minorEastAsia"/>
          <w:color w:val="FF0000"/>
          <w:sz w:val="24"/>
          <w:lang w:val="en-GB"/>
        </w:rPr>
      </w:pPr>
      <w:r w:rsidRPr="00135E1B">
        <w:rPr>
          <w:rFonts w:asciiTheme="minorEastAsia" w:eastAsiaTheme="minorEastAsia" w:hAnsiTheme="minorEastAsia" w:cstheme="minorEastAsia"/>
          <w:color w:val="FF0000"/>
          <w:sz w:val="24"/>
        </w:rPr>
        <w:t>8</w:t>
      </w:r>
      <w:r w:rsidR="001A78B5" w:rsidRPr="00135E1B">
        <w:rPr>
          <w:rFonts w:asciiTheme="minorEastAsia" w:eastAsiaTheme="minorEastAsia" w:hAnsiTheme="minorEastAsia" w:cstheme="minorEastAsia" w:hint="eastAsia"/>
          <w:color w:val="FF0000"/>
          <w:sz w:val="24"/>
        </w:rPr>
        <w:t>、经营范围：</w:t>
      </w:r>
      <w:r w:rsidR="00E2097B" w:rsidRPr="00135E1B">
        <w:rPr>
          <w:rFonts w:asciiTheme="minorEastAsia" w:eastAsiaTheme="minorEastAsia" w:hAnsiTheme="minorEastAsia" w:cstheme="minorEastAsia"/>
          <w:color w:val="FF0000"/>
          <w:sz w:val="24"/>
          <w:lang w:val="en-GB"/>
        </w:rPr>
        <w:t xml:space="preserve"> </w:t>
      </w:r>
    </w:p>
    <w:p w14:paraId="5548E291" w14:textId="77777777" w:rsidR="000D1251" w:rsidRPr="00135E1B" w:rsidRDefault="001A78B5">
      <w:pPr>
        <w:snapToGrid w:val="0"/>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二、企业基本的税收政策</w:t>
      </w:r>
    </w:p>
    <w:p w14:paraId="6828ADEA" w14:textId="77777777" w:rsidR="000D1251" w:rsidRPr="00135E1B" w:rsidRDefault="001A78B5">
      <w:pPr>
        <w:snapToGri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主要税（费）项目及税（费）率</w:t>
      </w:r>
    </w:p>
    <w:tbl>
      <w:tblPr>
        <w:tblW w:w="84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4073"/>
        <w:gridCol w:w="1687"/>
      </w:tblGrid>
      <w:tr w:rsidR="00135E1B" w:rsidRPr="00135E1B" w14:paraId="453E0975" w14:textId="77777777">
        <w:trPr>
          <w:trHeight w:val="345"/>
        </w:trPr>
        <w:tc>
          <w:tcPr>
            <w:tcW w:w="2705" w:type="dxa"/>
            <w:shd w:val="clear" w:color="auto" w:fill="auto"/>
            <w:vAlign w:val="center"/>
          </w:tcPr>
          <w:p w14:paraId="7BA4D0A8"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税（费）项目</w:t>
            </w:r>
          </w:p>
        </w:tc>
        <w:tc>
          <w:tcPr>
            <w:tcW w:w="4073" w:type="dxa"/>
            <w:shd w:val="clear" w:color="auto" w:fill="auto"/>
            <w:vAlign w:val="center"/>
          </w:tcPr>
          <w:p w14:paraId="7CE5B763"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计税依据</w:t>
            </w:r>
          </w:p>
        </w:tc>
        <w:tc>
          <w:tcPr>
            <w:tcW w:w="1687" w:type="dxa"/>
            <w:shd w:val="clear" w:color="auto" w:fill="auto"/>
            <w:vAlign w:val="center"/>
          </w:tcPr>
          <w:p w14:paraId="13B942A2"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税（费）率</w:t>
            </w:r>
          </w:p>
        </w:tc>
      </w:tr>
      <w:tr w:rsidR="00135E1B" w:rsidRPr="00135E1B" w14:paraId="76E6B133" w14:textId="77777777">
        <w:trPr>
          <w:trHeight w:val="345"/>
        </w:trPr>
        <w:tc>
          <w:tcPr>
            <w:tcW w:w="2705" w:type="dxa"/>
            <w:shd w:val="clear" w:color="auto" w:fill="auto"/>
            <w:vAlign w:val="center"/>
          </w:tcPr>
          <w:p w14:paraId="77FDA7B7"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增值税</w:t>
            </w:r>
          </w:p>
        </w:tc>
        <w:tc>
          <w:tcPr>
            <w:tcW w:w="4073" w:type="dxa"/>
            <w:shd w:val="clear" w:color="auto" w:fill="auto"/>
            <w:vAlign w:val="center"/>
          </w:tcPr>
          <w:p w14:paraId="59180BFE"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按</w:t>
            </w:r>
            <w:r w:rsidR="000D6164" w:rsidRPr="00135E1B">
              <w:rPr>
                <w:rFonts w:asciiTheme="minorEastAsia" w:eastAsiaTheme="minorEastAsia" w:hAnsiTheme="minorEastAsia" w:cstheme="minorEastAsia" w:hint="eastAsia"/>
                <w:color w:val="FF0000"/>
                <w:kern w:val="0"/>
                <w:sz w:val="24"/>
              </w:rPr>
              <w:t>应税收入</w:t>
            </w:r>
          </w:p>
        </w:tc>
        <w:tc>
          <w:tcPr>
            <w:tcW w:w="1687" w:type="dxa"/>
            <w:shd w:val="clear" w:color="auto" w:fill="auto"/>
            <w:vAlign w:val="center"/>
          </w:tcPr>
          <w:p w14:paraId="0A90FA80" w14:textId="4C080860" w:rsidR="000D1251" w:rsidRPr="00135E1B" w:rsidRDefault="00623966">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color w:val="FF0000"/>
                <w:kern w:val="0"/>
                <w:sz w:val="24"/>
              </w:rPr>
              <w:t>9</w:t>
            </w:r>
            <w:r w:rsidR="001A78B5" w:rsidRPr="00135E1B">
              <w:rPr>
                <w:rFonts w:asciiTheme="minorEastAsia" w:eastAsiaTheme="minorEastAsia" w:hAnsiTheme="minorEastAsia" w:cstheme="minorEastAsia" w:hint="eastAsia"/>
                <w:color w:val="FF0000"/>
                <w:kern w:val="0"/>
                <w:sz w:val="24"/>
              </w:rPr>
              <w:t>%</w:t>
            </w:r>
          </w:p>
        </w:tc>
      </w:tr>
      <w:tr w:rsidR="00135E1B" w:rsidRPr="00135E1B" w14:paraId="6A5E1D09" w14:textId="77777777">
        <w:trPr>
          <w:trHeight w:val="345"/>
        </w:trPr>
        <w:tc>
          <w:tcPr>
            <w:tcW w:w="2705" w:type="dxa"/>
            <w:shd w:val="clear" w:color="auto" w:fill="auto"/>
            <w:vAlign w:val="center"/>
          </w:tcPr>
          <w:p w14:paraId="0B28F448"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城市维护建设税</w:t>
            </w:r>
          </w:p>
        </w:tc>
        <w:tc>
          <w:tcPr>
            <w:tcW w:w="4073" w:type="dxa"/>
            <w:shd w:val="clear" w:color="auto" w:fill="auto"/>
            <w:vAlign w:val="center"/>
          </w:tcPr>
          <w:p w14:paraId="3D302049"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按应缴流转税税额计征</w:t>
            </w:r>
          </w:p>
        </w:tc>
        <w:tc>
          <w:tcPr>
            <w:tcW w:w="1687" w:type="dxa"/>
            <w:shd w:val="clear" w:color="auto" w:fill="auto"/>
            <w:vAlign w:val="center"/>
          </w:tcPr>
          <w:p w14:paraId="7A5357D9" w14:textId="6C62E34D" w:rsidR="000D1251" w:rsidRPr="00135E1B" w:rsidRDefault="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color w:val="FF0000"/>
                <w:kern w:val="0"/>
                <w:sz w:val="24"/>
              </w:rPr>
              <w:t>7</w:t>
            </w:r>
            <w:r w:rsidR="001A78B5" w:rsidRPr="00135E1B">
              <w:rPr>
                <w:rFonts w:asciiTheme="minorEastAsia" w:eastAsiaTheme="minorEastAsia" w:hAnsiTheme="minorEastAsia" w:cstheme="minorEastAsia" w:hint="eastAsia"/>
                <w:color w:val="FF0000"/>
                <w:kern w:val="0"/>
                <w:sz w:val="24"/>
              </w:rPr>
              <w:t>%</w:t>
            </w:r>
          </w:p>
        </w:tc>
      </w:tr>
      <w:tr w:rsidR="00135E1B" w:rsidRPr="00135E1B" w14:paraId="2DDABE7D" w14:textId="77777777">
        <w:trPr>
          <w:trHeight w:val="345"/>
        </w:trPr>
        <w:tc>
          <w:tcPr>
            <w:tcW w:w="2705" w:type="dxa"/>
            <w:shd w:val="clear" w:color="auto" w:fill="auto"/>
            <w:vAlign w:val="center"/>
          </w:tcPr>
          <w:p w14:paraId="378CD031"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教育费附加</w:t>
            </w:r>
          </w:p>
        </w:tc>
        <w:tc>
          <w:tcPr>
            <w:tcW w:w="4073" w:type="dxa"/>
            <w:shd w:val="clear" w:color="auto" w:fill="auto"/>
            <w:vAlign w:val="center"/>
          </w:tcPr>
          <w:p w14:paraId="301BAD30"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按应缴流转税税额计征</w:t>
            </w:r>
          </w:p>
        </w:tc>
        <w:tc>
          <w:tcPr>
            <w:tcW w:w="1687" w:type="dxa"/>
            <w:shd w:val="clear" w:color="auto" w:fill="auto"/>
            <w:vAlign w:val="center"/>
          </w:tcPr>
          <w:p w14:paraId="30CFC58F"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3%</w:t>
            </w:r>
          </w:p>
        </w:tc>
      </w:tr>
      <w:tr w:rsidR="00135E1B" w:rsidRPr="00135E1B" w14:paraId="74F14717" w14:textId="77777777">
        <w:trPr>
          <w:trHeight w:val="345"/>
        </w:trPr>
        <w:tc>
          <w:tcPr>
            <w:tcW w:w="2705" w:type="dxa"/>
            <w:shd w:val="clear" w:color="auto" w:fill="auto"/>
            <w:vAlign w:val="center"/>
          </w:tcPr>
          <w:p w14:paraId="3BCA9C73"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地方教育费附加</w:t>
            </w:r>
          </w:p>
        </w:tc>
        <w:tc>
          <w:tcPr>
            <w:tcW w:w="4073" w:type="dxa"/>
            <w:shd w:val="clear" w:color="auto" w:fill="auto"/>
            <w:vAlign w:val="center"/>
          </w:tcPr>
          <w:p w14:paraId="66E0B5DA"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按应缴流转税税额计征</w:t>
            </w:r>
          </w:p>
        </w:tc>
        <w:tc>
          <w:tcPr>
            <w:tcW w:w="1687" w:type="dxa"/>
            <w:shd w:val="clear" w:color="auto" w:fill="auto"/>
            <w:vAlign w:val="center"/>
          </w:tcPr>
          <w:p w14:paraId="55AD5060"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2%</w:t>
            </w:r>
          </w:p>
        </w:tc>
      </w:tr>
      <w:tr w:rsidR="00135E1B" w:rsidRPr="00135E1B" w14:paraId="46B8E251" w14:textId="77777777">
        <w:trPr>
          <w:trHeight w:val="345"/>
        </w:trPr>
        <w:tc>
          <w:tcPr>
            <w:tcW w:w="2705" w:type="dxa"/>
            <w:shd w:val="clear" w:color="auto" w:fill="auto"/>
            <w:vAlign w:val="center"/>
          </w:tcPr>
          <w:p w14:paraId="674143DA"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企业所得税</w:t>
            </w:r>
          </w:p>
        </w:tc>
        <w:tc>
          <w:tcPr>
            <w:tcW w:w="4073" w:type="dxa"/>
            <w:shd w:val="clear" w:color="auto" w:fill="auto"/>
            <w:vAlign w:val="center"/>
          </w:tcPr>
          <w:p w14:paraId="4DD4DDD5"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按应纳税所得额</w:t>
            </w:r>
          </w:p>
        </w:tc>
        <w:tc>
          <w:tcPr>
            <w:tcW w:w="1687" w:type="dxa"/>
            <w:shd w:val="clear" w:color="auto" w:fill="auto"/>
            <w:vAlign w:val="center"/>
          </w:tcPr>
          <w:p w14:paraId="7A4F13D6"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25%</w:t>
            </w:r>
          </w:p>
        </w:tc>
      </w:tr>
    </w:tbl>
    <w:p w14:paraId="3DCF14B8" w14:textId="77777777" w:rsidR="000D1251" w:rsidRPr="00135E1B" w:rsidRDefault="001A78B5">
      <w:pPr>
        <w:snapToGrid w:val="0"/>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三、企业主要的会计政策</w:t>
      </w:r>
    </w:p>
    <w:p w14:paraId="4C5AA1C6" w14:textId="77777777" w:rsidR="000D1251" w:rsidRPr="00135E1B" w:rsidRDefault="001A78B5">
      <w:pPr>
        <w:spacing w:line="360" w:lineRule="auto"/>
        <w:ind w:leftChars="200" w:left="420"/>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1、会计制度</w:t>
      </w:r>
    </w:p>
    <w:p w14:paraId="4BFCF4FB"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执行《企业会计准则》及其解释、应用指南、附录的会计科目。</w:t>
      </w:r>
    </w:p>
    <w:p w14:paraId="424F2909" w14:textId="77777777" w:rsidR="000D1251" w:rsidRPr="00135E1B" w:rsidRDefault="001A78B5">
      <w:pPr>
        <w:spacing w:line="360" w:lineRule="auto"/>
        <w:ind w:firstLineChars="200" w:firstLine="482"/>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b/>
          <w:sz w:val="24"/>
        </w:rPr>
        <w:t>2、会计年度</w:t>
      </w:r>
    </w:p>
    <w:p w14:paraId="71E60EA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自公历1月1日起至12月31日止。</w:t>
      </w:r>
    </w:p>
    <w:p w14:paraId="21CD8C24"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 xml:space="preserve">3、记账本位币 </w:t>
      </w:r>
    </w:p>
    <w:p w14:paraId="658608A2"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本公司以人民币为记账本位币。</w:t>
      </w:r>
    </w:p>
    <w:p w14:paraId="62061A99"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lastRenderedPageBreak/>
        <w:t>4、记账基础和计价原则</w:t>
      </w:r>
    </w:p>
    <w:p w14:paraId="1F374111" w14:textId="77777777" w:rsidR="000D1251" w:rsidRPr="00135E1B" w:rsidRDefault="001A78B5">
      <w:pPr>
        <w:pStyle w:val="1"/>
        <w:spacing w:beforeLines="0" w:line="360" w:lineRule="auto"/>
        <w:ind w:firstLineChars="200" w:firstLine="480"/>
        <w:jc w:val="both"/>
        <w:rPr>
          <w:rFonts w:asciiTheme="minorEastAsia" w:eastAsiaTheme="minorEastAsia" w:hAnsiTheme="minorEastAsia" w:cstheme="minorEastAsia"/>
          <w:sz w:val="24"/>
          <w:szCs w:val="24"/>
          <w:lang w:val="en-US" w:eastAsia="zh-CN"/>
        </w:rPr>
      </w:pPr>
      <w:r w:rsidRPr="00135E1B">
        <w:rPr>
          <w:rFonts w:asciiTheme="minorEastAsia" w:eastAsiaTheme="minorEastAsia" w:hAnsiTheme="minorEastAsia" w:cstheme="minorEastAsia" w:hint="eastAsia"/>
          <w:sz w:val="24"/>
          <w:szCs w:val="24"/>
          <w:lang w:val="en-US" w:eastAsia="zh-CN"/>
        </w:rPr>
        <w:t>本公司会计核算以权责发生制为记账基础，除交易性金融资产、可供出售金融资产等以公允价值计量外，以历史成本为计价原则。</w:t>
      </w:r>
    </w:p>
    <w:p w14:paraId="25C7E8B8" w14:textId="77777777" w:rsidR="000D1251" w:rsidRPr="00135E1B" w:rsidRDefault="001A78B5">
      <w:pPr>
        <w:spacing w:line="360" w:lineRule="auto"/>
        <w:ind w:firstLineChars="200" w:firstLine="482"/>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b/>
          <w:sz w:val="24"/>
        </w:rPr>
        <w:t>5、坏账损失采用备抵法核算</w:t>
      </w:r>
    </w:p>
    <w:p w14:paraId="01378F86"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6、存货成本计价</w:t>
      </w:r>
    </w:p>
    <w:p w14:paraId="4B89AF64"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（1）公司存货主要包括：原材料、包装物、低值易耗品、自制半成品、在产品、库存商品、开发成本、开发产品等。</w:t>
      </w:r>
    </w:p>
    <w:p w14:paraId="7C1A7381"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（2）公司存货购进时均采用实际成本核算，发出和领用时采用加权平均法核算成本。</w:t>
      </w:r>
    </w:p>
    <w:p w14:paraId="1DCE21EA"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（3）低值易耗品领用采用五五摊销法摊销。</w:t>
      </w:r>
    </w:p>
    <w:p w14:paraId="07F7BFD7"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（4）包装物领用采用一次摊销法摊销。</w:t>
      </w:r>
    </w:p>
    <w:p w14:paraId="46874690"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（5）存货盘存制度采用永续盘存制。</w:t>
      </w:r>
    </w:p>
    <w:p w14:paraId="4EAAE9A3"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（6）公司产品生产成本核算：公司产品生产按生产过程中实际发生的成本费用列记产品生产成本。</w:t>
      </w:r>
    </w:p>
    <w:p w14:paraId="0DD1FE91" w14:textId="77777777" w:rsidR="000D1251" w:rsidRPr="00135E1B" w:rsidRDefault="001A78B5">
      <w:pPr>
        <w:autoSpaceDE w:val="0"/>
        <w:autoSpaceDN w:val="0"/>
        <w:adjustRightInd w:val="0"/>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7）期末存货按成本与可变现净值孰低原则计价，对于存货因遭受毁损、全部或部分陈旧过时或销售价格低于成本等原因，预计其成本不可收回的部分，提取存货跌价准备。库存商品及大宗原材料的存货跌价准备按单个存货项目的成本高于其可变现净值的差额提取；其他数量繁多、单价较低的原辅材料按类别提取存货跌价准备。库存商品、在产品和用于出售的材料等直接用于出售的商品存货，其可变现净值按该存货的估计售价减去估计的销售费用和相关税费后的金额确定；用于生产而持有的材料存货，其可变现净值按所生产的产成品的估计售价减去至完工时估计将要发生的成本、估计的销售费用和相关税费后的金额确定。为执行销售合同或者劳务合同而持有的存货，其可变现净值以合同价格为基础计算；企业持有存货的数量多于销售合同订购数量的，超出部分的存货可变现净值以一般销售价格为基础计算。</w:t>
      </w:r>
    </w:p>
    <w:p w14:paraId="4C1FA6D0"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7、固定资产折旧</w:t>
      </w:r>
    </w:p>
    <w:p w14:paraId="754F64DB" w14:textId="77777777" w:rsidR="000D1251" w:rsidRPr="00135E1B" w:rsidRDefault="001A78B5">
      <w:pPr>
        <w:tabs>
          <w:tab w:val="left" w:pos="96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固定资产按其取得时的成本作为入账的价值，其中，外购的固定资产成本包括买价和进口关税等相关税费，以及为使固定资产达到预定可使用状态前所发生的可直接归属于该资产的其他支出；自行建造固定资产的成本，由建造该项资产达到预定可使用状态前所发生的必要支出构成；投资者投入的固定资产，按投资合同或协议约定的价值作为入账价值，但合同或协议约定价值不公允的按公允价</w:t>
      </w:r>
      <w:r w:rsidRPr="00135E1B">
        <w:rPr>
          <w:rFonts w:asciiTheme="minorEastAsia" w:eastAsiaTheme="minorEastAsia" w:hAnsiTheme="minorEastAsia" w:cstheme="minorEastAsia" w:hint="eastAsia"/>
          <w:sz w:val="24"/>
        </w:rPr>
        <w:lastRenderedPageBreak/>
        <w:t>值入账；融资租赁租入的固定资产，按租赁开始日租赁资产公允价值与最低租赁付款额现值两者中较低者作为入账价值。</w:t>
      </w:r>
    </w:p>
    <w:p w14:paraId="01DD29F6" w14:textId="77777777" w:rsidR="000D1251" w:rsidRPr="00135E1B" w:rsidRDefault="001A78B5">
      <w:pPr>
        <w:tabs>
          <w:tab w:val="left" w:pos="96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与固定资产有关的后续支出，包括修理支出、更新改造支出等，符合固定资产确认条件的，计入固定资产成本，对于被替换的部分，终止确认其账面价值；不符合固定资产确认条件的，于发生时计入当期损益。</w:t>
      </w:r>
    </w:p>
    <w:p w14:paraId="1C9F7459" w14:textId="77777777" w:rsidR="000D1251" w:rsidRPr="00135E1B" w:rsidRDefault="001A78B5">
      <w:pPr>
        <w:tabs>
          <w:tab w:val="left" w:pos="96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除已提足折旧仍继续使用的固定资产和单独计价入账的土地外，公司对所有固定资产计提折旧。计提折旧时采用平均年限法，并根据用途分别计入相关资产的成本或当期费用。本公司固定资产的分类折旧年限、预计净残值率、折旧率如下：</w:t>
      </w:r>
    </w:p>
    <w:tbl>
      <w:tblPr>
        <w:tblW w:w="8721" w:type="dxa"/>
        <w:jc w:val="center"/>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857"/>
        <w:gridCol w:w="1955"/>
        <w:gridCol w:w="1955"/>
        <w:gridCol w:w="1954"/>
      </w:tblGrid>
      <w:tr w:rsidR="00135E1B" w:rsidRPr="00135E1B" w14:paraId="34DDA23F" w14:textId="77777777">
        <w:trPr>
          <w:trHeight w:val="340"/>
          <w:jc w:val="center"/>
        </w:trPr>
        <w:tc>
          <w:tcPr>
            <w:tcW w:w="2857" w:type="dxa"/>
            <w:shd w:val="clear" w:color="auto" w:fill="auto"/>
            <w:vAlign w:val="center"/>
          </w:tcPr>
          <w:p w14:paraId="2C3F33BB"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固定资产类别</w:t>
            </w:r>
          </w:p>
        </w:tc>
        <w:tc>
          <w:tcPr>
            <w:tcW w:w="1955" w:type="dxa"/>
            <w:shd w:val="clear" w:color="auto" w:fill="auto"/>
            <w:vAlign w:val="center"/>
          </w:tcPr>
          <w:p w14:paraId="0FB05CA9"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预计使用寿命（年）</w:t>
            </w:r>
          </w:p>
        </w:tc>
        <w:tc>
          <w:tcPr>
            <w:tcW w:w="1955" w:type="dxa"/>
            <w:shd w:val="clear" w:color="auto" w:fill="auto"/>
            <w:vAlign w:val="center"/>
          </w:tcPr>
          <w:p w14:paraId="7BDF7D0F"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预计净残值率（%）</w:t>
            </w:r>
          </w:p>
        </w:tc>
        <w:tc>
          <w:tcPr>
            <w:tcW w:w="1954" w:type="dxa"/>
            <w:shd w:val="clear" w:color="auto" w:fill="auto"/>
            <w:vAlign w:val="center"/>
          </w:tcPr>
          <w:p w14:paraId="47CD9518" w14:textId="77777777" w:rsidR="000D1251" w:rsidRPr="00135E1B" w:rsidRDefault="001A78B5">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年折旧率（%）</w:t>
            </w:r>
          </w:p>
        </w:tc>
      </w:tr>
      <w:tr w:rsidR="00135E1B" w:rsidRPr="00135E1B" w14:paraId="0F57CE0F" w14:textId="77777777">
        <w:trPr>
          <w:trHeight w:val="340"/>
          <w:jc w:val="center"/>
        </w:trPr>
        <w:tc>
          <w:tcPr>
            <w:tcW w:w="2857" w:type="dxa"/>
            <w:shd w:val="clear" w:color="auto" w:fill="auto"/>
            <w:vAlign w:val="center"/>
          </w:tcPr>
          <w:p w14:paraId="35A60D46" w14:textId="17F97977" w:rsidR="00ED37D9" w:rsidRPr="00135E1B" w:rsidRDefault="006A59E7" w:rsidP="00ED37D9">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机器设备</w:t>
            </w:r>
          </w:p>
        </w:tc>
        <w:tc>
          <w:tcPr>
            <w:tcW w:w="1955" w:type="dxa"/>
            <w:shd w:val="clear" w:color="auto" w:fill="auto"/>
            <w:vAlign w:val="center"/>
          </w:tcPr>
          <w:p w14:paraId="3E580DB9" w14:textId="268415EB" w:rsidR="00ED37D9" w:rsidRPr="00135E1B" w:rsidRDefault="006A59E7" w:rsidP="00ED37D9">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color w:val="FF0000"/>
                <w:kern w:val="0"/>
                <w:sz w:val="24"/>
              </w:rPr>
              <w:t>10-20</w:t>
            </w:r>
          </w:p>
        </w:tc>
        <w:tc>
          <w:tcPr>
            <w:tcW w:w="1955" w:type="dxa"/>
            <w:shd w:val="clear" w:color="auto" w:fill="auto"/>
            <w:vAlign w:val="center"/>
          </w:tcPr>
          <w:p w14:paraId="53133D22" w14:textId="77777777" w:rsidR="00ED37D9" w:rsidRPr="00135E1B" w:rsidRDefault="00ED37D9" w:rsidP="00ED37D9">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5%</w:t>
            </w:r>
          </w:p>
        </w:tc>
        <w:tc>
          <w:tcPr>
            <w:tcW w:w="1954" w:type="dxa"/>
            <w:shd w:val="clear" w:color="auto" w:fill="auto"/>
            <w:vAlign w:val="center"/>
          </w:tcPr>
          <w:p w14:paraId="241D33C5" w14:textId="57F6D20F" w:rsidR="00ED37D9" w:rsidRPr="00135E1B" w:rsidRDefault="006A59E7" w:rsidP="00ED37D9">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color w:val="FF0000"/>
                <w:kern w:val="0"/>
                <w:sz w:val="24"/>
              </w:rPr>
              <w:t>4.75-9.5</w:t>
            </w:r>
          </w:p>
        </w:tc>
      </w:tr>
      <w:tr w:rsidR="006A59E7" w:rsidRPr="00135E1B" w14:paraId="4727DF80" w14:textId="77777777" w:rsidTr="009F1416">
        <w:trPr>
          <w:trHeight w:val="340"/>
          <w:jc w:val="center"/>
        </w:trPr>
        <w:tc>
          <w:tcPr>
            <w:tcW w:w="2857" w:type="dxa"/>
            <w:shd w:val="clear" w:color="auto" w:fill="auto"/>
            <w:vAlign w:val="center"/>
          </w:tcPr>
          <w:p w14:paraId="3A0AA790" w14:textId="7393E6EA"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电子设备</w:t>
            </w:r>
          </w:p>
        </w:tc>
        <w:tc>
          <w:tcPr>
            <w:tcW w:w="1955" w:type="dxa"/>
            <w:shd w:val="clear" w:color="auto" w:fill="auto"/>
            <w:vAlign w:val="center"/>
          </w:tcPr>
          <w:p w14:paraId="45CB0CA3" w14:textId="369D61A3"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3</w:t>
            </w:r>
            <w:r>
              <w:rPr>
                <w:rFonts w:asciiTheme="minorEastAsia" w:eastAsiaTheme="minorEastAsia" w:hAnsiTheme="minorEastAsia" w:cstheme="minorEastAsia"/>
                <w:color w:val="FF0000"/>
                <w:kern w:val="0"/>
                <w:sz w:val="24"/>
              </w:rPr>
              <w:t>-5</w:t>
            </w:r>
          </w:p>
        </w:tc>
        <w:tc>
          <w:tcPr>
            <w:tcW w:w="1955" w:type="dxa"/>
            <w:shd w:val="clear" w:color="auto" w:fill="auto"/>
          </w:tcPr>
          <w:p w14:paraId="19B0B471" w14:textId="35A3408E"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sidRPr="00A355CD">
              <w:rPr>
                <w:rFonts w:asciiTheme="minorEastAsia" w:eastAsiaTheme="minorEastAsia" w:hAnsiTheme="minorEastAsia" w:cstheme="minorEastAsia" w:hint="eastAsia"/>
                <w:color w:val="FF0000"/>
                <w:kern w:val="0"/>
                <w:sz w:val="24"/>
              </w:rPr>
              <w:t>5%</w:t>
            </w:r>
          </w:p>
        </w:tc>
        <w:tc>
          <w:tcPr>
            <w:tcW w:w="1954" w:type="dxa"/>
            <w:shd w:val="clear" w:color="auto" w:fill="auto"/>
            <w:vAlign w:val="center"/>
          </w:tcPr>
          <w:p w14:paraId="2B0703C1" w14:textId="2448B887"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1</w:t>
            </w:r>
            <w:r>
              <w:rPr>
                <w:rFonts w:asciiTheme="minorEastAsia" w:eastAsiaTheme="minorEastAsia" w:hAnsiTheme="minorEastAsia" w:cstheme="minorEastAsia"/>
                <w:color w:val="FF0000"/>
                <w:kern w:val="0"/>
                <w:sz w:val="24"/>
              </w:rPr>
              <w:t>9-31.67</w:t>
            </w:r>
          </w:p>
        </w:tc>
      </w:tr>
      <w:tr w:rsidR="006A59E7" w:rsidRPr="00135E1B" w14:paraId="64733FFA" w14:textId="77777777" w:rsidTr="009F1416">
        <w:trPr>
          <w:trHeight w:val="340"/>
          <w:jc w:val="center"/>
        </w:trPr>
        <w:tc>
          <w:tcPr>
            <w:tcW w:w="2857" w:type="dxa"/>
            <w:shd w:val="clear" w:color="auto" w:fill="auto"/>
            <w:vAlign w:val="center"/>
          </w:tcPr>
          <w:p w14:paraId="42F395B7" w14:textId="5B2FE538"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其他设备</w:t>
            </w:r>
          </w:p>
        </w:tc>
        <w:tc>
          <w:tcPr>
            <w:tcW w:w="1955" w:type="dxa"/>
            <w:shd w:val="clear" w:color="auto" w:fill="auto"/>
            <w:vAlign w:val="center"/>
          </w:tcPr>
          <w:p w14:paraId="15C36154" w14:textId="1437E539"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5</w:t>
            </w:r>
            <w:r>
              <w:rPr>
                <w:rFonts w:asciiTheme="minorEastAsia" w:eastAsiaTheme="minorEastAsia" w:hAnsiTheme="minorEastAsia" w:cstheme="minorEastAsia"/>
                <w:color w:val="FF0000"/>
                <w:kern w:val="0"/>
                <w:sz w:val="24"/>
              </w:rPr>
              <w:t>-15</w:t>
            </w:r>
          </w:p>
        </w:tc>
        <w:tc>
          <w:tcPr>
            <w:tcW w:w="1955" w:type="dxa"/>
            <w:shd w:val="clear" w:color="auto" w:fill="auto"/>
          </w:tcPr>
          <w:p w14:paraId="037990D0" w14:textId="52F06745"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sidRPr="00A355CD">
              <w:rPr>
                <w:rFonts w:asciiTheme="minorEastAsia" w:eastAsiaTheme="minorEastAsia" w:hAnsiTheme="minorEastAsia" w:cstheme="minorEastAsia" w:hint="eastAsia"/>
                <w:color w:val="FF0000"/>
                <w:kern w:val="0"/>
                <w:sz w:val="24"/>
              </w:rPr>
              <w:t>5%</w:t>
            </w:r>
          </w:p>
        </w:tc>
        <w:tc>
          <w:tcPr>
            <w:tcW w:w="1954" w:type="dxa"/>
            <w:shd w:val="clear" w:color="auto" w:fill="auto"/>
            <w:vAlign w:val="center"/>
          </w:tcPr>
          <w:p w14:paraId="69B51F00" w14:textId="3ACEF0D5"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6</w:t>
            </w:r>
            <w:r>
              <w:rPr>
                <w:rFonts w:asciiTheme="minorEastAsia" w:eastAsiaTheme="minorEastAsia" w:hAnsiTheme="minorEastAsia" w:cstheme="minorEastAsia"/>
                <w:color w:val="FF0000"/>
                <w:kern w:val="0"/>
                <w:sz w:val="24"/>
              </w:rPr>
              <w:t>.33-19</w:t>
            </w:r>
          </w:p>
        </w:tc>
      </w:tr>
      <w:tr w:rsidR="006A59E7" w:rsidRPr="00135E1B" w14:paraId="4B03EF9B" w14:textId="77777777" w:rsidTr="009F1416">
        <w:trPr>
          <w:trHeight w:val="340"/>
          <w:jc w:val="center"/>
        </w:trPr>
        <w:tc>
          <w:tcPr>
            <w:tcW w:w="2857" w:type="dxa"/>
            <w:shd w:val="clear" w:color="auto" w:fill="auto"/>
            <w:vAlign w:val="center"/>
          </w:tcPr>
          <w:p w14:paraId="3998FF0A" w14:textId="1EE376BB"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hint="eastAsia"/>
                <w:color w:val="FF0000"/>
                <w:kern w:val="0"/>
                <w:sz w:val="24"/>
              </w:rPr>
              <w:t>运输设备</w:t>
            </w:r>
          </w:p>
        </w:tc>
        <w:tc>
          <w:tcPr>
            <w:tcW w:w="1955" w:type="dxa"/>
            <w:shd w:val="clear" w:color="auto" w:fill="auto"/>
            <w:vAlign w:val="center"/>
          </w:tcPr>
          <w:p w14:paraId="3D7CFB93" w14:textId="3DB821D5"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sidRPr="00135E1B">
              <w:rPr>
                <w:rFonts w:asciiTheme="minorEastAsia" w:eastAsiaTheme="minorEastAsia" w:hAnsiTheme="minorEastAsia" w:cstheme="minorEastAsia"/>
                <w:color w:val="FF0000"/>
                <w:kern w:val="0"/>
                <w:sz w:val="24"/>
              </w:rPr>
              <w:t>4</w:t>
            </w:r>
            <w:r>
              <w:rPr>
                <w:rFonts w:asciiTheme="minorEastAsia" w:eastAsiaTheme="minorEastAsia" w:hAnsiTheme="minorEastAsia" w:cstheme="minorEastAsia"/>
                <w:color w:val="FF0000"/>
                <w:kern w:val="0"/>
                <w:sz w:val="24"/>
              </w:rPr>
              <w:t>-10</w:t>
            </w:r>
          </w:p>
        </w:tc>
        <w:tc>
          <w:tcPr>
            <w:tcW w:w="1955" w:type="dxa"/>
            <w:shd w:val="clear" w:color="auto" w:fill="auto"/>
          </w:tcPr>
          <w:p w14:paraId="7ECC012D" w14:textId="5745C7ED"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sidRPr="00A355CD">
              <w:rPr>
                <w:rFonts w:asciiTheme="minorEastAsia" w:eastAsiaTheme="minorEastAsia" w:hAnsiTheme="minorEastAsia" w:cstheme="minorEastAsia" w:hint="eastAsia"/>
                <w:color w:val="FF0000"/>
                <w:kern w:val="0"/>
                <w:sz w:val="24"/>
              </w:rPr>
              <w:t>5%</w:t>
            </w:r>
          </w:p>
        </w:tc>
        <w:tc>
          <w:tcPr>
            <w:tcW w:w="1954" w:type="dxa"/>
            <w:shd w:val="clear" w:color="auto" w:fill="auto"/>
            <w:vAlign w:val="center"/>
          </w:tcPr>
          <w:p w14:paraId="73562630" w14:textId="456990A8" w:rsidR="006A59E7" w:rsidRPr="00135E1B" w:rsidRDefault="00DA4EBA"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color w:val="FF0000"/>
                <w:kern w:val="0"/>
                <w:sz w:val="24"/>
              </w:rPr>
              <w:t>9.5-</w:t>
            </w:r>
            <w:r w:rsidR="006A59E7" w:rsidRPr="00135E1B">
              <w:rPr>
                <w:rFonts w:asciiTheme="minorEastAsia" w:eastAsiaTheme="minorEastAsia" w:hAnsiTheme="minorEastAsia" w:cstheme="minorEastAsia"/>
                <w:color w:val="FF0000"/>
                <w:kern w:val="0"/>
                <w:sz w:val="24"/>
              </w:rPr>
              <w:t>23</w:t>
            </w:r>
            <w:r w:rsidR="006A59E7" w:rsidRPr="00135E1B">
              <w:rPr>
                <w:rFonts w:asciiTheme="minorEastAsia" w:eastAsiaTheme="minorEastAsia" w:hAnsiTheme="minorEastAsia" w:cstheme="minorEastAsia" w:hint="eastAsia"/>
                <w:color w:val="FF0000"/>
                <w:kern w:val="0"/>
                <w:sz w:val="24"/>
              </w:rPr>
              <w:t>.</w:t>
            </w:r>
            <w:r w:rsidR="006A59E7" w:rsidRPr="00135E1B">
              <w:rPr>
                <w:rFonts w:asciiTheme="minorEastAsia" w:eastAsiaTheme="minorEastAsia" w:hAnsiTheme="minorEastAsia" w:cstheme="minorEastAsia"/>
                <w:color w:val="FF0000"/>
                <w:kern w:val="0"/>
                <w:sz w:val="24"/>
              </w:rPr>
              <w:t>75</w:t>
            </w:r>
          </w:p>
        </w:tc>
      </w:tr>
      <w:tr w:rsidR="006A59E7" w:rsidRPr="00135E1B" w14:paraId="578E9A17" w14:textId="77777777" w:rsidTr="009F1416">
        <w:trPr>
          <w:trHeight w:val="340"/>
          <w:jc w:val="center"/>
        </w:trPr>
        <w:tc>
          <w:tcPr>
            <w:tcW w:w="2857" w:type="dxa"/>
            <w:shd w:val="clear" w:color="auto" w:fill="auto"/>
            <w:vAlign w:val="center"/>
          </w:tcPr>
          <w:p w14:paraId="266BD92C" w14:textId="79F1F498"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房屋及建筑物</w:t>
            </w:r>
          </w:p>
        </w:tc>
        <w:tc>
          <w:tcPr>
            <w:tcW w:w="1955" w:type="dxa"/>
            <w:shd w:val="clear" w:color="auto" w:fill="auto"/>
            <w:vAlign w:val="center"/>
          </w:tcPr>
          <w:p w14:paraId="12772AE1" w14:textId="7326BB6B"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2</w:t>
            </w:r>
            <w:r>
              <w:rPr>
                <w:rFonts w:asciiTheme="minorEastAsia" w:eastAsiaTheme="minorEastAsia" w:hAnsiTheme="minorEastAsia" w:cstheme="minorEastAsia"/>
                <w:color w:val="FF0000"/>
                <w:kern w:val="0"/>
                <w:sz w:val="24"/>
              </w:rPr>
              <w:t>0-40</w:t>
            </w:r>
          </w:p>
        </w:tc>
        <w:tc>
          <w:tcPr>
            <w:tcW w:w="1955" w:type="dxa"/>
            <w:shd w:val="clear" w:color="auto" w:fill="auto"/>
          </w:tcPr>
          <w:p w14:paraId="00B4AE91" w14:textId="2B13BA9F" w:rsidR="006A59E7" w:rsidRPr="00135E1B" w:rsidRDefault="006A59E7" w:rsidP="006A59E7">
            <w:pPr>
              <w:widowControl/>
              <w:spacing w:line="400" w:lineRule="exact"/>
              <w:jc w:val="center"/>
              <w:rPr>
                <w:rFonts w:asciiTheme="minorEastAsia" w:eastAsiaTheme="minorEastAsia" w:hAnsiTheme="minorEastAsia" w:cstheme="minorEastAsia"/>
                <w:color w:val="FF0000"/>
                <w:kern w:val="0"/>
                <w:sz w:val="24"/>
              </w:rPr>
            </w:pPr>
            <w:r w:rsidRPr="00A355CD">
              <w:rPr>
                <w:rFonts w:asciiTheme="minorEastAsia" w:eastAsiaTheme="minorEastAsia" w:hAnsiTheme="minorEastAsia" w:cstheme="minorEastAsia" w:hint="eastAsia"/>
                <w:color w:val="FF0000"/>
                <w:kern w:val="0"/>
                <w:sz w:val="24"/>
              </w:rPr>
              <w:t>5%</w:t>
            </w:r>
          </w:p>
        </w:tc>
        <w:tc>
          <w:tcPr>
            <w:tcW w:w="1954" w:type="dxa"/>
            <w:shd w:val="clear" w:color="auto" w:fill="auto"/>
            <w:vAlign w:val="center"/>
          </w:tcPr>
          <w:p w14:paraId="2E99A653" w14:textId="4D2C6499" w:rsidR="006A59E7" w:rsidRPr="00135E1B" w:rsidRDefault="00DA4EBA" w:rsidP="006A59E7">
            <w:pPr>
              <w:widowControl/>
              <w:spacing w:line="400" w:lineRule="exact"/>
              <w:jc w:val="center"/>
              <w:rPr>
                <w:rFonts w:asciiTheme="minorEastAsia" w:eastAsiaTheme="minorEastAsia" w:hAnsiTheme="minorEastAsia" w:cstheme="minorEastAsia"/>
                <w:color w:val="FF0000"/>
                <w:kern w:val="0"/>
                <w:sz w:val="24"/>
              </w:rPr>
            </w:pPr>
            <w:r>
              <w:rPr>
                <w:rFonts w:asciiTheme="minorEastAsia" w:eastAsiaTheme="minorEastAsia" w:hAnsiTheme="minorEastAsia" w:cstheme="minorEastAsia" w:hint="eastAsia"/>
                <w:color w:val="FF0000"/>
                <w:kern w:val="0"/>
                <w:sz w:val="24"/>
              </w:rPr>
              <w:t>4</w:t>
            </w:r>
            <w:r>
              <w:rPr>
                <w:rFonts w:asciiTheme="minorEastAsia" w:eastAsiaTheme="minorEastAsia" w:hAnsiTheme="minorEastAsia" w:cstheme="minorEastAsia"/>
                <w:color w:val="FF0000"/>
                <w:kern w:val="0"/>
                <w:sz w:val="24"/>
              </w:rPr>
              <w:t>.75-2.38</w:t>
            </w:r>
          </w:p>
        </w:tc>
      </w:tr>
    </w:tbl>
    <w:p w14:paraId="3688BF7C"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当固定资产被处置、或者预期通过使用或处置不能产生经济利益时，终止确认该固定资产。固定资产出售、转让、报废或毁损的处置收入扣除其账面价值和相关税费后的金额计入当期损益。</w:t>
      </w:r>
    </w:p>
    <w:p w14:paraId="3726CE11"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8、所得税的会计核算</w:t>
      </w:r>
    </w:p>
    <w:p w14:paraId="66BC29BB"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所得税的会计核算采用资产负债表债务法。所得税费用包括当年所得税和递延所得税。除将与直接计入股东权益的交易和事项相关的当年所得税和递延所得税计入股东权益，以及公司合并产生的递延所得税调整商誉的账面价值外，其余的当期所得税和递延所得税费用或收益计入当期损益。</w:t>
      </w:r>
    </w:p>
    <w:p w14:paraId="5B99D6AE" w14:textId="77777777" w:rsidR="000D1251" w:rsidRPr="00135E1B" w:rsidRDefault="001A78B5">
      <w:pPr>
        <w:pStyle w:val="30"/>
        <w:ind w:firstLineChars="200" w:firstLine="480"/>
        <w:rPr>
          <w:rFonts w:asciiTheme="minorEastAsia" w:eastAsiaTheme="minorEastAsia" w:hAnsiTheme="minorEastAsia" w:cstheme="minorEastAsia"/>
          <w:sz w:val="24"/>
          <w:szCs w:val="24"/>
        </w:rPr>
      </w:pPr>
      <w:r w:rsidRPr="00135E1B">
        <w:rPr>
          <w:rFonts w:asciiTheme="minorEastAsia" w:eastAsiaTheme="minorEastAsia" w:hAnsiTheme="minorEastAsia" w:cstheme="minorEastAsia" w:hint="eastAsia"/>
          <w:sz w:val="24"/>
          <w:szCs w:val="24"/>
        </w:rPr>
        <w:t>当年所得税是指公司按照税务规定计算确定的针对当期发生的交易和事项，应纳给税务部门的金额，即应交所得税；递延所得税是指按照资产负债表债务法应予确认的递延所得税资产和递延所得税负债在期末应有的金额相对于原已确认金额之间的差额。</w:t>
      </w:r>
    </w:p>
    <w:p w14:paraId="37CDB2B2" w14:textId="77777777" w:rsidR="000D1251" w:rsidRPr="00135E1B" w:rsidRDefault="001A78B5">
      <w:pPr>
        <w:snapToGrid w:val="0"/>
        <w:spacing w:line="360" w:lineRule="auto"/>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四、企业所得税纳税申报表项目注释说明</w:t>
      </w:r>
    </w:p>
    <w:p w14:paraId="694D1633" w14:textId="77777777" w:rsidR="000D1251" w:rsidRPr="00135E1B" w:rsidRDefault="001A78B5">
      <w:pPr>
        <w:spacing w:line="360" w:lineRule="auto"/>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（一）利润总额的审核</w:t>
      </w:r>
    </w:p>
    <w:p w14:paraId="4D59A3EE" w14:textId="096F9769" w:rsidR="000D1251" w:rsidRPr="00135E1B" w:rsidRDefault="001A78B5">
      <w:pPr>
        <w:spacing w:line="360" w:lineRule="auto"/>
        <w:ind w:firstLineChars="200" w:firstLine="480"/>
        <w:rPr>
          <w:rFonts w:asciiTheme="minorEastAsia" w:eastAsiaTheme="minorEastAsia" w:hAnsiTheme="minorEastAsia" w:cstheme="minorEastAsia"/>
          <w:bCs/>
          <w:color w:val="FF0000"/>
          <w:kern w:val="0"/>
          <w:sz w:val="24"/>
        </w:rPr>
      </w:pPr>
      <w:r w:rsidRPr="00135E1B">
        <w:rPr>
          <w:rFonts w:asciiTheme="minorEastAsia" w:eastAsiaTheme="minorEastAsia" w:hAnsiTheme="minorEastAsia" w:cstheme="minorEastAsia" w:hint="eastAsia"/>
          <w:bCs/>
          <w:color w:val="FF0000"/>
          <w:kern w:val="0"/>
          <w:sz w:val="24"/>
        </w:rPr>
        <w:t>贵单位20</w:t>
      </w:r>
      <w:r w:rsidR="0046589A" w:rsidRPr="00135E1B">
        <w:rPr>
          <w:rFonts w:asciiTheme="minorEastAsia" w:eastAsiaTheme="minorEastAsia" w:hAnsiTheme="minorEastAsia" w:cstheme="minorEastAsia"/>
          <w:bCs/>
          <w:color w:val="FF0000"/>
          <w:kern w:val="0"/>
          <w:sz w:val="24"/>
        </w:rPr>
        <w:t>2</w:t>
      </w:r>
      <w:r w:rsidR="00D26F00" w:rsidRPr="00135E1B">
        <w:rPr>
          <w:rFonts w:asciiTheme="minorEastAsia" w:eastAsiaTheme="minorEastAsia" w:hAnsiTheme="minorEastAsia" w:cstheme="minorEastAsia"/>
          <w:bCs/>
          <w:color w:val="FF0000"/>
          <w:kern w:val="0"/>
          <w:sz w:val="24"/>
        </w:rPr>
        <w:t>1</w:t>
      </w:r>
      <w:r w:rsidRPr="00135E1B">
        <w:rPr>
          <w:rFonts w:asciiTheme="minorEastAsia" w:eastAsiaTheme="minorEastAsia" w:hAnsiTheme="minorEastAsia" w:cstheme="minorEastAsia" w:hint="eastAsia"/>
          <w:bCs/>
          <w:color w:val="FF0000"/>
          <w:kern w:val="0"/>
          <w:sz w:val="24"/>
        </w:rPr>
        <w:t>纳税年度经审核后的会计利润总额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bCs/>
          <w:color w:val="FF0000"/>
          <w:kern w:val="0"/>
          <w:sz w:val="24"/>
        </w:rPr>
        <w:t>元。</w:t>
      </w:r>
    </w:p>
    <w:p w14:paraId="02F2AF8A" w14:textId="77777777" w:rsidR="000D1251" w:rsidRPr="00135E1B" w:rsidRDefault="001A78B5">
      <w:pPr>
        <w:numPr>
          <w:ilvl w:val="0"/>
          <w:numId w:val="2"/>
        </w:numPr>
        <w:spacing w:line="360" w:lineRule="auto"/>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营业收入的审核</w:t>
      </w:r>
    </w:p>
    <w:p w14:paraId="3344FEF3" w14:textId="77777777" w:rsidR="000D1251" w:rsidRPr="00135E1B" w:rsidRDefault="001A78B5">
      <w:pPr>
        <w:spacing w:line="360" w:lineRule="auto"/>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lastRenderedPageBreak/>
        <w:t>1.1主营业务收入的审核</w:t>
      </w:r>
    </w:p>
    <w:p w14:paraId="78F5847F" w14:textId="77777777" w:rsidR="000D1251" w:rsidRPr="00135E1B" w:rsidRDefault="001A78B5">
      <w:pPr>
        <w:spacing w:line="360" w:lineRule="auto"/>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（1）主营业务收入</w:t>
      </w:r>
    </w:p>
    <w:p w14:paraId="42CEE2A3" w14:textId="650DEE75" w:rsidR="00AC15C9" w:rsidRPr="009D46CC" w:rsidRDefault="00AC15C9" w:rsidP="00AC15C9">
      <w:pPr>
        <w:spacing w:line="360" w:lineRule="auto"/>
        <w:ind w:firstLineChars="200" w:firstLine="480"/>
        <w:rPr>
          <w:rFonts w:asciiTheme="minorEastAsia" w:eastAsiaTheme="minorEastAsia" w:hAnsiTheme="minorEastAsia" w:cstheme="minorEastAsia"/>
          <w:color w:val="FF0000"/>
          <w:sz w:val="24"/>
        </w:rPr>
      </w:pPr>
      <w:r w:rsidRPr="009D46CC">
        <w:rPr>
          <w:rFonts w:asciiTheme="minorEastAsia" w:eastAsiaTheme="minorEastAsia" w:hAnsiTheme="minorEastAsia" w:cstheme="minorEastAsia" w:hint="eastAsia"/>
          <w:color w:val="FF0000"/>
          <w:sz w:val="24"/>
        </w:rPr>
        <w:t>贵公司本纳税年度账面确认主营业务收入</w:t>
      </w:r>
      <w:r w:rsidR="00E2097B">
        <w:rPr>
          <w:rFonts w:asciiTheme="minorEastAsia" w:eastAsiaTheme="minorEastAsia" w:hAnsiTheme="minorEastAsia" w:cstheme="minorEastAsia"/>
          <w:bCs/>
          <w:color w:val="FF0000"/>
          <w:kern w:val="0"/>
          <w:sz w:val="24"/>
        </w:rPr>
        <w:t>0.00</w:t>
      </w:r>
      <w:r w:rsidR="00693530" w:rsidRPr="009D46CC">
        <w:rPr>
          <w:rFonts w:asciiTheme="minorEastAsia" w:eastAsiaTheme="minorEastAsia" w:hAnsiTheme="minorEastAsia" w:cstheme="minorEastAsia" w:hint="eastAsia"/>
          <w:color w:val="FF0000"/>
          <w:sz w:val="24"/>
        </w:rPr>
        <w:t>元</w:t>
      </w:r>
      <w:r w:rsidRPr="009D46CC">
        <w:rPr>
          <w:rFonts w:asciiTheme="minorEastAsia" w:eastAsiaTheme="minorEastAsia" w:hAnsiTheme="minorEastAsia" w:cstheme="minorEastAsia" w:hint="eastAsia"/>
          <w:color w:val="FF0000"/>
          <w:sz w:val="24"/>
        </w:rPr>
        <w:t>，依照财务会计的相关规定，主营业务收入未有调整。</w:t>
      </w:r>
    </w:p>
    <w:p w14:paraId="6CC99713"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1.2其他业务收入的审核</w:t>
      </w:r>
    </w:p>
    <w:p w14:paraId="0CB59B3B" w14:textId="2C4C8303" w:rsidR="000D1251" w:rsidRPr="009D46CC" w:rsidRDefault="001A78B5">
      <w:pPr>
        <w:spacing w:line="360" w:lineRule="auto"/>
        <w:ind w:firstLineChars="200" w:firstLine="480"/>
        <w:rPr>
          <w:rFonts w:asciiTheme="minorEastAsia" w:eastAsiaTheme="minorEastAsia" w:hAnsiTheme="minorEastAsia" w:cstheme="minorEastAsia"/>
          <w:color w:val="FF0000"/>
          <w:sz w:val="24"/>
        </w:rPr>
      </w:pPr>
      <w:r w:rsidRPr="009D46CC">
        <w:rPr>
          <w:rFonts w:asciiTheme="minorEastAsia" w:eastAsiaTheme="minorEastAsia" w:hAnsiTheme="minorEastAsia" w:cstheme="minorEastAsia" w:hint="eastAsia"/>
          <w:color w:val="FF0000"/>
          <w:sz w:val="24"/>
        </w:rPr>
        <w:t>贵公司本纳税年度账面确认其他业务收入</w:t>
      </w:r>
      <w:r w:rsidR="00E2097B">
        <w:rPr>
          <w:rFonts w:asciiTheme="minorEastAsia" w:eastAsiaTheme="minorEastAsia" w:hAnsiTheme="minorEastAsia" w:cstheme="minorEastAsia"/>
          <w:bCs/>
          <w:color w:val="FF0000"/>
          <w:kern w:val="0"/>
          <w:sz w:val="24"/>
        </w:rPr>
        <w:t>0.00</w:t>
      </w:r>
      <w:r w:rsidR="007A6DD0" w:rsidRPr="009D46CC">
        <w:rPr>
          <w:rFonts w:asciiTheme="minorEastAsia" w:eastAsiaTheme="minorEastAsia" w:hAnsiTheme="minorEastAsia" w:cstheme="minorEastAsia" w:hint="eastAsia"/>
          <w:color w:val="FF0000"/>
          <w:sz w:val="24"/>
        </w:rPr>
        <w:t>元</w:t>
      </w:r>
      <w:r w:rsidRPr="009D46CC">
        <w:rPr>
          <w:rFonts w:asciiTheme="minorEastAsia" w:eastAsiaTheme="minorEastAsia" w:hAnsiTheme="minorEastAsia" w:cstheme="minorEastAsia" w:hint="eastAsia"/>
          <w:color w:val="FF0000"/>
          <w:sz w:val="24"/>
        </w:rPr>
        <w:t>，依照财务会计的相关规定，其他业务收入未有调整。</w:t>
      </w:r>
    </w:p>
    <w:p w14:paraId="2E10EC7E" w14:textId="77777777" w:rsidR="000D1251" w:rsidRPr="00135E1B" w:rsidRDefault="001A78B5">
      <w:pPr>
        <w:spacing w:line="360" w:lineRule="auto"/>
        <w:ind w:leftChars="200" w:left="420"/>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2.营业成本的审核</w:t>
      </w:r>
    </w:p>
    <w:p w14:paraId="5A4D713E"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2.1主营业务成本的审核</w:t>
      </w:r>
    </w:p>
    <w:p w14:paraId="18B41C28" w14:textId="656E08CD" w:rsidR="00D24326" w:rsidRPr="009D46CC" w:rsidRDefault="00D24326" w:rsidP="00D24326">
      <w:pPr>
        <w:spacing w:line="360" w:lineRule="auto"/>
        <w:ind w:firstLineChars="200" w:firstLine="480"/>
        <w:rPr>
          <w:rFonts w:asciiTheme="minorEastAsia" w:eastAsiaTheme="minorEastAsia" w:hAnsiTheme="minorEastAsia" w:cstheme="minorEastAsia"/>
          <w:color w:val="FF0000"/>
          <w:sz w:val="24"/>
        </w:rPr>
      </w:pPr>
      <w:r w:rsidRPr="009D46CC">
        <w:rPr>
          <w:rFonts w:asciiTheme="minorEastAsia" w:eastAsiaTheme="minorEastAsia" w:hAnsiTheme="minorEastAsia" w:cstheme="minorEastAsia" w:hint="eastAsia"/>
          <w:color w:val="FF0000"/>
          <w:sz w:val="24"/>
        </w:rPr>
        <w:t>贵公司本纳税年度账面确认主营业务成本</w:t>
      </w:r>
      <w:r w:rsidR="00E2097B">
        <w:rPr>
          <w:rFonts w:asciiTheme="minorEastAsia" w:eastAsiaTheme="minorEastAsia" w:hAnsiTheme="minorEastAsia" w:cstheme="minorEastAsia"/>
          <w:bCs/>
          <w:color w:val="FF0000"/>
          <w:kern w:val="0"/>
          <w:sz w:val="24"/>
        </w:rPr>
        <w:t>0.00</w:t>
      </w:r>
      <w:r w:rsidR="009D46CC" w:rsidRPr="009D46CC">
        <w:rPr>
          <w:rFonts w:asciiTheme="minorEastAsia" w:eastAsiaTheme="minorEastAsia" w:hAnsiTheme="minorEastAsia" w:cstheme="minorEastAsia" w:hint="eastAsia"/>
          <w:color w:val="FF0000"/>
          <w:sz w:val="24"/>
        </w:rPr>
        <w:t>元</w:t>
      </w:r>
      <w:r w:rsidRPr="009D46CC">
        <w:rPr>
          <w:rFonts w:asciiTheme="minorEastAsia" w:eastAsiaTheme="minorEastAsia" w:hAnsiTheme="minorEastAsia" w:cstheme="minorEastAsia" w:hint="eastAsia"/>
          <w:color w:val="FF0000"/>
          <w:sz w:val="24"/>
        </w:rPr>
        <w:t>，依照财务会计的相关规定，主营业务成本未有调整。</w:t>
      </w:r>
    </w:p>
    <w:p w14:paraId="1FB83770"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2.2其他业务成本的审核</w:t>
      </w:r>
    </w:p>
    <w:p w14:paraId="7933986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贵公司本纳税年度账面未确认其他业务成本，依照财务会计的相关规定，其他业务成本未有调整。</w:t>
      </w:r>
    </w:p>
    <w:p w14:paraId="4B6B9E82" w14:textId="77777777" w:rsidR="000D1251" w:rsidRPr="00135E1B" w:rsidRDefault="001A78B5">
      <w:pPr>
        <w:spacing w:line="360" w:lineRule="auto"/>
        <w:ind w:leftChars="200" w:left="420"/>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3.税金及附加的审核</w:t>
      </w:r>
    </w:p>
    <w:p w14:paraId="7AACC674" w14:textId="4C299B1A"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贵公司本纳税年度账面确认税金及附加</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元,依照财务会计的相关规定，税金及附加未有调整。</w:t>
      </w:r>
    </w:p>
    <w:p w14:paraId="51463930" w14:textId="77777777" w:rsidR="000D1251" w:rsidRPr="00135E1B" w:rsidRDefault="001A78B5">
      <w:pPr>
        <w:spacing w:line="360" w:lineRule="auto"/>
        <w:ind w:leftChars="200" w:left="420"/>
        <w:rPr>
          <w:rFonts w:asciiTheme="minorEastAsia" w:eastAsiaTheme="minorEastAsia" w:hAnsiTheme="minorEastAsia" w:cstheme="minorEastAsia"/>
          <w:b/>
          <w:color w:val="FF0000"/>
          <w:sz w:val="24"/>
        </w:rPr>
      </w:pPr>
      <w:r w:rsidRPr="00135E1B">
        <w:rPr>
          <w:rFonts w:asciiTheme="minorEastAsia" w:eastAsiaTheme="minorEastAsia" w:hAnsiTheme="minorEastAsia" w:cstheme="minorEastAsia" w:hint="eastAsia"/>
          <w:b/>
          <w:color w:val="FF0000"/>
          <w:sz w:val="24"/>
        </w:rPr>
        <w:t>4.销售费用的审核</w:t>
      </w:r>
    </w:p>
    <w:p w14:paraId="0E0CD9C1" w14:textId="14114A2C"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贵公司本纳税年度账面确认销售费用</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元，依照财务会计的相关规定，销售费用未有调整。</w:t>
      </w:r>
    </w:p>
    <w:p w14:paraId="1E0A897F" w14:textId="77777777" w:rsidR="000D1251" w:rsidRPr="00135E1B" w:rsidRDefault="001A78B5">
      <w:pPr>
        <w:spacing w:line="360" w:lineRule="auto"/>
        <w:ind w:leftChars="200" w:left="420"/>
        <w:rPr>
          <w:rFonts w:asciiTheme="minorEastAsia" w:eastAsiaTheme="minorEastAsia" w:hAnsiTheme="minorEastAsia" w:cstheme="minorEastAsia"/>
          <w:b/>
          <w:color w:val="FF0000"/>
          <w:sz w:val="24"/>
        </w:rPr>
      </w:pPr>
      <w:r w:rsidRPr="00135E1B">
        <w:rPr>
          <w:rFonts w:asciiTheme="minorEastAsia" w:eastAsiaTheme="minorEastAsia" w:hAnsiTheme="minorEastAsia" w:cstheme="minorEastAsia" w:hint="eastAsia"/>
          <w:b/>
          <w:color w:val="FF0000"/>
          <w:sz w:val="24"/>
        </w:rPr>
        <w:t>5.管理费用的审核</w:t>
      </w:r>
    </w:p>
    <w:p w14:paraId="15499273" w14:textId="0904DEB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贵公司本纳税年度账面确认管理费用</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元,依照财务会计的相关规定，管理费用未有调整。</w:t>
      </w:r>
    </w:p>
    <w:p w14:paraId="4283F9ED" w14:textId="2EE8FBBB" w:rsidR="000D1251" w:rsidRPr="00135E1B" w:rsidRDefault="001A78B5">
      <w:pPr>
        <w:spacing w:line="360" w:lineRule="auto"/>
        <w:ind w:firstLineChars="200" w:firstLine="482"/>
        <w:rPr>
          <w:rFonts w:asciiTheme="minorEastAsia" w:eastAsiaTheme="minorEastAsia" w:hAnsiTheme="minorEastAsia" w:cstheme="minorEastAsia"/>
          <w:b/>
          <w:color w:val="FF0000"/>
          <w:sz w:val="24"/>
        </w:rPr>
      </w:pPr>
      <w:r w:rsidRPr="00135E1B">
        <w:rPr>
          <w:rFonts w:asciiTheme="minorEastAsia" w:eastAsiaTheme="minorEastAsia" w:hAnsiTheme="minorEastAsia" w:cstheme="minorEastAsia" w:hint="eastAsia"/>
          <w:b/>
          <w:color w:val="FF0000"/>
          <w:sz w:val="24"/>
        </w:rPr>
        <w:t>6. 财务费用的审核</w:t>
      </w:r>
    </w:p>
    <w:p w14:paraId="5C17E31F" w14:textId="3DC08689"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贵公司本纳税年度账面确认财务费用</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元，依照财务会计的相关规定，财务费用未有调整。</w:t>
      </w:r>
    </w:p>
    <w:p w14:paraId="1B70F6ED" w14:textId="77777777" w:rsidR="000D1251" w:rsidRPr="00135E1B" w:rsidRDefault="001A78B5">
      <w:pPr>
        <w:spacing w:line="360" w:lineRule="auto"/>
        <w:ind w:firstLineChars="200" w:firstLine="482"/>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b/>
          <w:sz w:val="24"/>
        </w:rPr>
        <w:t>7. 资产减值损失的审核</w:t>
      </w:r>
    </w:p>
    <w:p w14:paraId="57BDB3B2" w14:textId="145F7DC1"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贵公司本纳税年度账面</w:t>
      </w:r>
      <w:r w:rsidR="00D24326" w:rsidRPr="00135E1B">
        <w:rPr>
          <w:rFonts w:asciiTheme="minorEastAsia" w:eastAsiaTheme="minorEastAsia" w:hAnsiTheme="minorEastAsia" w:cstheme="minorEastAsia" w:hint="eastAsia"/>
          <w:sz w:val="24"/>
        </w:rPr>
        <w:t>未</w:t>
      </w:r>
      <w:r w:rsidRPr="00135E1B">
        <w:rPr>
          <w:rFonts w:asciiTheme="minorEastAsia" w:eastAsiaTheme="minorEastAsia" w:hAnsiTheme="minorEastAsia" w:cstheme="minorEastAsia" w:hint="eastAsia"/>
          <w:sz w:val="24"/>
        </w:rPr>
        <w:t>确认资产减值损失,依照财务会计的相关规定，</w:t>
      </w:r>
      <w:r w:rsidR="00D0240B" w:rsidRPr="00135E1B">
        <w:rPr>
          <w:rFonts w:asciiTheme="minorEastAsia" w:eastAsiaTheme="minorEastAsia" w:hAnsiTheme="minorEastAsia" w:cstheme="minorEastAsia" w:hint="eastAsia"/>
          <w:sz w:val="24"/>
        </w:rPr>
        <w:t>资产减值损失未有调整</w:t>
      </w:r>
      <w:r w:rsidRPr="00135E1B">
        <w:rPr>
          <w:rFonts w:asciiTheme="minorEastAsia" w:eastAsiaTheme="minorEastAsia" w:hAnsiTheme="minorEastAsia" w:cstheme="minorEastAsia" w:hint="eastAsia"/>
          <w:sz w:val="24"/>
        </w:rPr>
        <w:t>。</w:t>
      </w:r>
    </w:p>
    <w:p w14:paraId="23A38616"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8．公允价值变动收益</w:t>
      </w:r>
    </w:p>
    <w:p w14:paraId="535BCC56"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贵公司本纳税年度账面未确认公允价值变动收益，依照财务会计的相关规定，</w:t>
      </w:r>
      <w:r w:rsidRPr="00135E1B">
        <w:rPr>
          <w:rFonts w:asciiTheme="minorEastAsia" w:eastAsiaTheme="minorEastAsia" w:hAnsiTheme="minorEastAsia" w:cstheme="minorEastAsia" w:hint="eastAsia"/>
          <w:sz w:val="24"/>
        </w:rPr>
        <w:lastRenderedPageBreak/>
        <w:t>公允价值变动收益未有调整。</w:t>
      </w:r>
    </w:p>
    <w:p w14:paraId="03BAF0FD"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9．投资收益的审核</w:t>
      </w:r>
    </w:p>
    <w:p w14:paraId="35BBC30C"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贵公司本纳税年度账面未确认投资收益，依照财务会计的相关规定，投资收益未有调整。</w:t>
      </w:r>
    </w:p>
    <w:p w14:paraId="10FFDCF6" w14:textId="43C09F2E" w:rsidR="00D0240B" w:rsidRPr="00135E1B" w:rsidRDefault="00D0240B">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w:t>
      </w:r>
      <w:r w:rsidRPr="00135E1B">
        <w:rPr>
          <w:rFonts w:asciiTheme="minorEastAsia" w:eastAsiaTheme="minorEastAsia" w:hAnsiTheme="minorEastAsia" w:cstheme="minorEastAsia"/>
          <w:b/>
          <w:sz w:val="24"/>
        </w:rPr>
        <w:t>0.</w:t>
      </w:r>
      <w:r w:rsidRPr="00135E1B">
        <w:rPr>
          <w:rFonts w:asciiTheme="minorEastAsia" w:eastAsiaTheme="minorEastAsia" w:hAnsiTheme="minorEastAsia" w:cstheme="minorEastAsia" w:hint="eastAsia"/>
          <w:b/>
          <w:sz w:val="24"/>
        </w:rPr>
        <w:t>其他收益的审核</w:t>
      </w:r>
    </w:p>
    <w:p w14:paraId="0574EB0A" w14:textId="36492E0C" w:rsidR="00D0240B" w:rsidRPr="00135E1B" w:rsidRDefault="00D0240B" w:rsidP="00D0240B">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贵公司本纳税年度账面</w:t>
      </w:r>
      <w:r w:rsidR="00BE18F0" w:rsidRPr="00135E1B">
        <w:rPr>
          <w:rFonts w:asciiTheme="minorEastAsia" w:eastAsiaTheme="minorEastAsia" w:hAnsiTheme="minorEastAsia" w:cstheme="minorEastAsia" w:hint="eastAsia"/>
          <w:sz w:val="24"/>
        </w:rPr>
        <w:t>未</w:t>
      </w:r>
      <w:r w:rsidRPr="00135E1B">
        <w:rPr>
          <w:rFonts w:asciiTheme="minorEastAsia" w:eastAsiaTheme="minorEastAsia" w:hAnsiTheme="minorEastAsia" w:cstheme="minorEastAsia" w:hint="eastAsia"/>
          <w:sz w:val="24"/>
        </w:rPr>
        <w:t>确认其他收益，依照财务会计的相关规定，投资收益未有调整。</w:t>
      </w:r>
    </w:p>
    <w:p w14:paraId="7F36727B" w14:textId="3113B1ED" w:rsidR="000D1251" w:rsidRPr="00135E1B" w:rsidRDefault="001A78B5">
      <w:pPr>
        <w:spacing w:line="360" w:lineRule="auto"/>
        <w:ind w:firstLineChars="200" w:firstLine="482"/>
        <w:rPr>
          <w:rFonts w:asciiTheme="minorEastAsia" w:eastAsiaTheme="minorEastAsia" w:hAnsiTheme="minorEastAsia" w:cstheme="minorEastAsia"/>
          <w:b/>
          <w:color w:val="FF0000"/>
          <w:sz w:val="24"/>
        </w:rPr>
      </w:pPr>
      <w:r w:rsidRPr="00135E1B">
        <w:rPr>
          <w:rFonts w:asciiTheme="minorEastAsia" w:eastAsiaTheme="minorEastAsia" w:hAnsiTheme="minorEastAsia" w:cstheme="minorEastAsia" w:hint="eastAsia"/>
          <w:b/>
          <w:color w:val="FF0000"/>
          <w:sz w:val="24"/>
        </w:rPr>
        <w:t>1</w:t>
      </w:r>
      <w:r w:rsidR="005B4A81" w:rsidRPr="00135E1B">
        <w:rPr>
          <w:rFonts w:asciiTheme="minorEastAsia" w:eastAsiaTheme="minorEastAsia" w:hAnsiTheme="minorEastAsia" w:cstheme="minorEastAsia"/>
          <w:b/>
          <w:color w:val="FF0000"/>
          <w:sz w:val="24"/>
        </w:rPr>
        <w:t>1</w:t>
      </w:r>
      <w:r w:rsidRPr="00135E1B">
        <w:rPr>
          <w:rFonts w:asciiTheme="minorEastAsia" w:eastAsiaTheme="minorEastAsia" w:hAnsiTheme="minorEastAsia" w:cstheme="minorEastAsia" w:hint="eastAsia"/>
          <w:b/>
          <w:color w:val="FF0000"/>
          <w:sz w:val="24"/>
        </w:rPr>
        <w:t>．营业外收入的审核</w:t>
      </w:r>
    </w:p>
    <w:p w14:paraId="66D2D1B1" w14:textId="0445DF66"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贵公司本纳税年度账面确认营业外收入</w:t>
      </w:r>
      <w:r w:rsidR="00E2097B">
        <w:rPr>
          <w:rFonts w:asciiTheme="minorEastAsia" w:eastAsiaTheme="minorEastAsia" w:hAnsiTheme="minorEastAsia" w:cstheme="minorEastAsia"/>
          <w:bCs/>
          <w:color w:val="FF0000"/>
          <w:kern w:val="0"/>
          <w:sz w:val="24"/>
        </w:rPr>
        <w:t>0.00</w:t>
      </w:r>
      <w:r w:rsidR="008C3630" w:rsidRPr="00135E1B">
        <w:rPr>
          <w:rFonts w:asciiTheme="minorEastAsia" w:eastAsiaTheme="minorEastAsia" w:hAnsiTheme="minorEastAsia" w:cstheme="minorEastAsia" w:hint="eastAsia"/>
          <w:color w:val="FF0000"/>
          <w:sz w:val="24"/>
        </w:rPr>
        <w:t>元</w:t>
      </w:r>
      <w:r w:rsidRPr="00135E1B">
        <w:rPr>
          <w:rFonts w:asciiTheme="minorEastAsia" w:eastAsiaTheme="minorEastAsia" w:hAnsiTheme="minorEastAsia" w:cstheme="minorEastAsia" w:hint="eastAsia"/>
          <w:color w:val="FF0000"/>
          <w:sz w:val="24"/>
        </w:rPr>
        <w:t>,依照财务会计的相关规定，营业外收入未有调整。</w:t>
      </w:r>
    </w:p>
    <w:p w14:paraId="40C35AA1" w14:textId="47C82C7C" w:rsidR="000D1251" w:rsidRPr="00135E1B" w:rsidRDefault="001A78B5">
      <w:pPr>
        <w:spacing w:line="360" w:lineRule="auto"/>
        <w:ind w:firstLineChars="200" w:firstLine="482"/>
        <w:rPr>
          <w:rFonts w:asciiTheme="minorEastAsia" w:eastAsiaTheme="minorEastAsia" w:hAnsiTheme="minorEastAsia" w:cstheme="minorEastAsia"/>
          <w:b/>
          <w:color w:val="FF0000"/>
          <w:sz w:val="24"/>
        </w:rPr>
      </w:pPr>
      <w:r w:rsidRPr="00135E1B">
        <w:rPr>
          <w:rFonts w:asciiTheme="minorEastAsia" w:eastAsiaTheme="minorEastAsia" w:hAnsiTheme="minorEastAsia" w:cstheme="minorEastAsia" w:hint="eastAsia"/>
          <w:b/>
          <w:color w:val="FF0000"/>
          <w:sz w:val="24"/>
        </w:rPr>
        <w:t>1</w:t>
      </w:r>
      <w:r w:rsidR="005B4A81" w:rsidRPr="00135E1B">
        <w:rPr>
          <w:rFonts w:asciiTheme="minorEastAsia" w:eastAsiaTheme="minorEastAsia" w:hAnsiTheme="minorEastAsia" w:cstheme="minorEastAsia"/>
          <w:b/>
          <w:color w:val="FF0000"/>
          <w:sz w:val="24"/>
        </w:rPr>
        <w:t>2</w:t>
      </w:r>
      <w:r w:rsidRPr="00135E1B">
        <w:rPr>
          <w:rFonts w:asciiTheme="minorEastAsia" w:eastAsiaTheme="minorEastAsia" w:hAnsiTheme="minorEastAsia" w:cstheme="minorEastAsia" w:hint="eastAsia"/>
          <w:b/>
          <w:color w:val="FF0000"/>
          <w:sz w:val="24"/>
        </w:rPr>
        <w:t>．营业外支出的审核</w:t>
      </w:r>
    </w:p>
    <w:p w14:paraId="21789879" w14:textId="6D77D2F9"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贵公司本纳税年度账面确认营业外支出</w:t>
      </w:r>
      <w:r w:rsidR="00E2097B">
        <w:rPr>
          <w:rFonts w:asciiTheme="minorEastAsia" w:eastAsiaTheme="minorEastAsia" w:hAnsiTheme="minorEastAsia" w:cstheme="minorEastAsia"/>
          <w:bCs/>
          <w:color w:val="FF0000"/>
          <w:kern w:val="0"/>
          <w:sz w:val="24"/>
        </w:rPr>
        <w:t>0.00</w:t>
      </w:r>
      <w:r w:rsidR="00A0157A" w:rsidRPr="00135E1B">
        <w:rPr>
          <w:rFonts w:asciiTheme="minorEastAsia" w:eastAsiaTheme="minorEastAsia" w:hAnsiTheme="minorEastAsia" w:cstheme="minorEastAsia" w:hint="eastAsia"/>
          <w:color w:val="FF0000"/>
          <w:sz w:val="24"/>
        </w:rPr>
        <w:t>元</w:t>
      </w:r>
      <w:r w:rsidRPr="00135E1B">
        <w:rPr>
          <w:rFonts w:asciiTheme="minorEastAsia" w:eastAsiaTheme="minorEastAsia" w:hAnsiTheme="minorEastAsia" w:cstheme="minorEastAsia" w:hint="eastAsia"/>
          <w:color w:val="FF0000"/>
          <w:sz w:val="24"/>
        </w:rPr>
        <w:t>，依照财务会计的相关规定</w:t>
      </w:r>
      <w:r w:rsidR="00A0157A" w:rsidRPr="00135E1B">
        <w:rPr>
          <w:rFonts w:asciiTheme="minorEastAsia" w:eastAsiaTheme="minorEastAsia" w:hAnsiTheme="minorEastAsia" w:cstheme="minorEastAsia" w:hint="eastAsia"/>
          <w:color w:val="FF0000"/>
          <w:sz w:val="24"/>
        </w:rPr>
        <w:t>，</w:t>
      </w:r>
      <w:r w:rsidR="00D0240B" w:rsidRPr="00135E1B">
        <w:rPr>
          <w:rFonts w:asciiTheme="minorEastAsia" w:eastAsiaTheme="minorEastAsia" w:hAnsiTheme="minorEastAsia" w:cstheme="minorEastAsia" w:hint="eastAsia"/>
          <w:color w:val="FF0000"/>
          <w:sz w:val="24"/>
        </w:rPr>
        <w:t>营业外支出未有调整</w:t>
      </w:r>
      <w:r w:rsidRPr="00135E1B">
        <w:rPr>
          <w:rFonts w:asciiTheme="minorEastAsia" w:eastAsiaTheme="minorEastAsia" w:hAnsiTheme="minorEastAsia" w:cstheme="minorEastAsia" w:hint="eastAsia"/>
          <w:color w:val="FF0000"/>
          <w:sz w:val="24"/>
        </w:rPr>
        <w:t>。</w:t>
      </w:r>
    </w:p>
    <w:p w14:paraId="2A7E2676"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（二）纳税调整后所得额的审核</w:t>
      </w:r>
    </w:p>
    <w:p w14:paraId="449641CD" w14:textId="40239994"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贵公司账面利润总额为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元，经上述审核确认利润总额为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元。根据税收法规规定的标准审核，核实本纳税年度纳税调整增加额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元，纳税调整减少额0.00元，免税、减计收入及加计扣除</w:t>
      </w:r>
      <w:r w:rsidR="005E3EF5"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元，境外应税所得弥补境内亏损0.00元，纳税调整后所得额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元。纳税调整事项如下：</w:t>
      </w:r>
    </w:p>
    <w:p w14:paraId="53673382" w14:textId="77777777" w:rsidR="000D1251" w:rsidRPr="00135E1B" w:rsidRDefault="001A78B5">
      <w:pPr>
        <w:spacing w:line="360" w:lineRule="auto"/>
        <w:ind w:firstLineChars="200" w:firstLine="482"/>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b/>
          <w:sz w:val="24"/>
        </w:rPr>
        <w:t>1.纳税调整增加、减少额的审核</w:t>
      </w:r>
      <w:r w:rsidRPr="00135E1B">
        <w:rPr>
          <w:rFonts w:asciiTheme="minorEastAsia" w:eastAsiaTheme="minorEastAsia" w:hAnsiTheme="minorEastAsia" w:cstheme="minorEastAsia" w:hint="eastAsia"/>
          <w:sz w:val="24"/>
        </w:rPr>
        <w:t>(详见查账鉴证申报表A105000-纳税调整项目明细表)</w:t>
      </w:r>
    </w:p>
    <w:p w14:paraId="392FDA7E" w14:textId="77777777" w:rsidR="000D1251" w:rsidRPr="00135E1B" w:rsidRDefault="001A78B5">
      <w:pPr>
        <w:spacing w:line="360" w:lineRule="auto"/>
        <w:ind w:leftChars="200" w:left="420"/>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1.1 收入类调整项目的审核</w:t>
      </w:r>
    </w:p>
    <w:p w14:paraId="7BDDEC8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（1）视同销售收入的审核</w:t>
      </w:r>
    </w:p>
    <w:p w14:paraId="0BC93385"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贵公司本纳税年度不存在视同销售收入的调整事项。</w:t>
      </w:r>
    </w:p>
    <w:p w14:paraId="40CA3BAD"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（2）未按权责发生制原则确认的收入的审核</w:t>
      </w:r>
    </w:p>
    <w:p w14:paraId="296024D4"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贵公司本纳税年度不存在未按权责发生制原则确认的收入调整事项。</w:t>
      </w:r>
    </w:p>
    <w:p w14:paraId="6871AFB5"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（3）投资收益的审核</w:t>
      </w:r>
    </w:p>
    <w:p w14:paraId="6C6E92A9"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贵公司本纳税年度不存在投资收益调整事项。</w:t>
      </w:r>
    </w:p>
    <w:p w14:paraId="68FD4A6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（4）按权益法核算长期股权投资对初始投资成本调整确认收益</w:t>
      </w:r>
    </w:p>
    <w:p w14:paraId="581CA96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贵公司本纳税年度不存在按权益法核算长期股权投资对初始投资成本调整确认收益事项。</w:t>
      </w:r>
    </w:p>
    <w:p w14:paraId="5E9CFADD"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 xml:space="preserve">（5）交易性金融资产初始投资调整的审核  </w:t>
      </w:r>
    </w:p>
    <w:p w14:paraId="4750CD92"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lastRenderedPageBreak/>
        <w:t>贵公司本纳税年度不存在交易性金融资产初始投资调整事项。</w:t>
      </w:r>
    </w:p>
    <w:p w14:paraId="01EB395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（6）公允价值变动净损益的审核</w:t>
      </w:r>
    </w:p>
    <w:p w14:paraId="3803E6F8"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贵公司本纳税年度不存在公允价值变动净损益调整事项。</w:t>
      </w:r>
    </w:p>
    <w:p w14:paraId="08C0978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（7）不征税收入的审核</w:t>
      </w:r>
    </w:p>
    <w:p w14:paraId="5F82FCCC"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贵公司本纳税年度不存在不征税收入事项。</w:t>
      </w:r>
    </w:p>
    <w:p w14:paraId="3F2912A0"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（8）销售折扣、折让和退回的审核</w:t>
      </w:r>
    </w:p>
    <w:p w14:paraId="25BC48E9"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贵公司本纳税年度不存在销售折扣、折让和退回调整事项</w:t>
      </w:r>
    </w:p>
    <w:p w14:paraId="4345E2B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（9）其他的审核</w:t>
      </w:r>
    </w:p>
    <w:p w14:paraId="6B187387"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贵公司本纳税年度不存在收入的其他审核调整事项</w:t>
      </w:r>
    </w:p>
    <w:p w14:paraId="24150073" w14:textId="77777777" w:rsidR="000D1251" w:rsidRPr="00135E1B" w:rsidRDefault="001A78B5">
      <w:pPr>
        <w:spacing w:line="360" w:lineRule="auto"/>
        <w:ind w:leftChars="200" w:left="420"/>
        <w:jc w:val="left"/>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1.2  扣除类调整项目的审核</w:t>
      </w:r>
    </w:p>
    <w:p w14:paraId="54BEFFBD"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（1）视同销售成本的审核</w:t>
      </w:r>
    </w:p>
    <w:p w14:paraId="3E65C5D5"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贵公司本纳税年度不存在视同销售成本的调整事项。</w:t>
      </w:r>
    </w:p>
    <w:p w14:paraId="616363D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（2）职工薪酬</w:t>
      </w:r>
    </w:p>
    <w:p w14:paraId="3CFA9C7B" w14:textId="22C1A4B5"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经对下列项目进行审查，贵公司本纳税年度职工薪酬账载金额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元，实际发生金额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元，按税收规定允许税前扣除的职工薪酬金额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元，纳税调整经审核确认为0.00元。</w:t>
      </w:r>
    </w:p>
    <w:p w14:paraId="7551DEF1"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① 工资薪金支出的审核</w:t>
      </w:r>
    </w:p>
    <w:p w14:paraId="60E2AF99" w14:textId="1F4FADE4"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贵公司本纳税年度工资薪金支出账载金额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元，实际发生额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元，按税收规定允许税前扣除的工资薪金支出金额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元，纳税调整经审核确认为0.00元。</w:t>
      </w:r>
    </w:p>
    <w:p w14:paraId="737757B9" w14:textId="77777777" w:rsidR="000D1251" w:rsidRPr="00135E1B" w:rsidRDefault="001A78B5">
      <w:pPr>
        <w:tabs>
          <w:tab w:val="right" w:pos="8505"/>
        </w:tabs>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② 职工福利费支出的审核</w:t>
      </w:r>
      <w:r w:rsidRPr="00135E1B">
        <w:rPr>
          <w:rFonts w:asciiTheme="minorEastAsia" w:eastAsiaTheme="minorEastAsia" w:hAnsiTheme="minorEastAsia" w:cstheme="minorEastAsia" w:hint="eastAsia"/>
          <w:color w:val="FF0000"/>
          <w:sz w:val="24"/>
        </w:rPr>
        <w:tab/>
      </w:r>
    </w:p>
    <w:p w14:paraId="446D3790" w14:textId="2B9C6FFF"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贵公司本纳税年度账载职工福利费支出金额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元，按照税收法规规定本纳税年度可以在税前扣除的职工福利费支出金额为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元，纳税调整经审核确认为0.00元。</w:t>
      </w:r>
    </w:p>
    <w:p w14:paraId="2CF963C2"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③ 职工教育经费支出的审核</w:t>
      </w:r>
    </w:p>
    <w:p w14:paraId="7674D826"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贵公司本纳税年度账载职工教育经费支出金额</w:t>
      </w:r>
      <w:bookmarkStart w:id="5" w:name="OLE_LINK3"/>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元，实际使用</w:t>
      </w:r>
      <w:bookmarkEnd w:id="5"/>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元，按照税收法规规定允许税前扣除的职工教育经费支出金额</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元，纳税调整经审核确认为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7B951F5D" w14:textId="04164732"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④ 工会经费支出的审核</w:t>
      </w:r>
    </w:p>
    <w:p w14:paraId="22E132D7" w14:textId="2F78096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贵公司本纳税年度账载工会经费支出金额</w:t>
      </w:r>
      <w:r w:rsidR="00EB7040"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元，按照税收法规规定允许税前扣除的工会经费支出金额</w:t>
      </w:r>
      <w:r w:rsidR="00EB7040"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元，纳税调整经审核确认为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346825EB"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lastRenderedPageBreak/>
        <w:t>⑤ 各类基本社会保障性缴款的审核</w:t>
      </w:r>
    </w:p>
    <w:p w14:paraId="1A836A9C" w14:textId="1CC00F96"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贵公司本纳税年度实际发生的各类基本社会保障性缴款支出的账载金额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w:t>
      </w:r>
      <w:bookmarkStart w:id="6" w:name="OLE_LINK9"/>
      <w:r w:rsidRPr="00135E1B">
        <w:rPr>
          <w:rFonts w:asciiTheme="minorEastAsia" w:eastAsiaTheme="minorEastAsia" w:hAnsiTheme="minorEastAsia" w:cstheme="minorEastAsia" w:hint="eastAsia"/>
          <w:color w:val="FF0000"/>
          <w:sz w:val="24"/>
        </w:rPr>
        <w:t>，</w:t>
      </w:r>
      <w:bookmarkEnd w:id="6"/>
      <w:r w:rsidRPr="00135E1B">
        <w:rPr>
          <w:rFonts w:asciiTheme="minorEastAsia" w:eastAsiaTheme="minorEastAsia" w:hAnsiTheme="minorEastAsia" w:cstheme="minorEastAsia" w:hint="eastAsia"/>
          <w:color w:val="FF0000"/>
          <w:sz w:val="24"/>
        </w:rPr>
        <w:t>截止汇算审核期，按税收法规规定可在本纳税年度扣除的各类基本社会保障性缴款金额为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元，纳税调整经审核确认为0.00元。</w:t>
      </w:r>
    </w:p>
    <w:p w14:paraId="3E9DAC07"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⑥ 补充养老保险、补充医疗保险的审核</w:t>
      </w:r>
    </w:p>
    <w:p w14:paraId="41DD5BB7"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贵公司本纳税年度实际发生补充医疗保险支出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元，按税收法规规定可在本纳税年度税前扣除的补充医疗保险支出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元，纳税调整经审核确认为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641446C8"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⑦ 住房公积金的审核</w:t>
      </w:r>
    </w:p>
    <w:p w14:paraId="78EC558C" w14:textId="1C5F0A91"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贵公司本纳税年度实际发生住房公积金支出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元，按税收法规规定可在本纳税年度税前扣除的住房公积金支出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元，纳税调整经审核确认为0.00元。</w:t>
      </w:r>
    </w:p>
    <w:p w14:paraId="1D9AD578"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⑧ 其他的审核</w:t>
      </w:r>
    </w:p>
    <w:p w14:paraId="57FC2EF0"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贵公司本纳税年度实际发生其他工薪支出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元，按税收法规规定其他工薪支出支出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元允许在税前扣除，纳税调整增加经审核确认为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w:t>
      </w:r>
    </w:p>
    <w:p w14:paraId="00A19EE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（3）业务招待费支出的审核</w:t>
      </w:r>
    </w:p>
    <w:p w14:paraId="535ADFF6" w14:textId="7AAD52FA"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贵公司本纳税年度实际发生业务招待费</w:t>
      </w:r>
      <w:bookmarkStart w:id="7" w:name="OLE_LINK10"/>
      <w:bookmarkStart w:id="8" w:name="OLE_LINK8"/>
      <w:r w:rsidR="00A262A0" w:rsidRPr="00A262A0">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w:t>
      </w:r>
      <w:bookmarkEnd w:id="7"/>
      <w:bookmarkEnd w:id="8"/>
      <w:r w:rsidRPr="00135E1B">
        <w:rPr>
          <w:rFonts w:asciiTheme="minorEastAsia" w:eastAsiaTheme="minorEastAsia" w:hAnsiTheme="minorEastAsia" w:cstheme="minorEastAsia" w:hint="eastAsia"/>
          <w:color w:val="FF0000"/>
          <w:sz w:val="24"/>
        </w:rPr>
        <w:t>，按实际发生的业务招待费支出60%的比例计算可税前扣除的限额为</w:t>
      </w:r>
      <w:r w:rsidR="00A262A0" w:rsidRPr="00A262A0">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元；本纳税年度计算业务招待费扣除的销售（营业）收入及视同销售收入金额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元，按销售（营业）收入5‰的比例计算可税前扣除的业务招待费限额为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元，取其低者为允许税前扣除的税收金额</w:t>
      </w:r>
      <w:r w:rsidR="00A262A0" w:rsidRPr="00A262A0">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元，纳税调整增加经审核确认为</w:t>
      </w:r>
      <w:r w:rsidR="00A262A0" w:rsidRPr="00A262A0">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w:t>
      </w:r>
    </w:p>
    <w:p w14:paraId="604EAF7E" w14:textId="77777777"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（4）广告费和业务宣传费支出的审核</w:t>
      </w:r>
    </w:p>
    <w:p w14:paraId="45AF52E2" w14:textId="3C4083F1"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贵公司本纳税年度实际列支广告费和业务宣传费账载金额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元，不允许扣除的广告费和业务宣传费0.00元；本年计算广告费和业务宣传费扣除限额的销售（营业）收入</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元，按销售（营业）收入15%的比例计算本年度可税前扣除的广告费和业务宣传费限额为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元，按税收法规规定本年度符合税前扣除广告费和业务宣传费支出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元，纳税调整增加经审核确认为0.00元，本年度结转以后年度扣除额</w:t>
      </w:r>
      <w:r w:rsidR="00416B91"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元，加以前年度累计扣除额</w:t>
      </w:r>
      <w:r w:rsidR="00416B91"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元,贵公司累计结转以后年度扣除额为</w:t>
      </w:r>
      <w:r w:rsidR="00416B91"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w:t>
      </w:r>
    </w:p>
    <w:p w14:paraId="720B8755"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（5）捐赠支出的审核</w:t>
      </w:r>
    </w:p>
    <w:p w14:paraId="3F53C2E9"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贵公司本纳税年度发生公益性捐赠支出账载金额</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元，税前允许扣除的捐赠支出税收金额</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元，纳税调整经审核确认为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w:t>
      </w:r>
    </w:p>
    <w:p w14:paraId="0B694861"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lastRenderedPageBreak/>
        <w:t>（6）利息支出的审核</w:t>
      </w:r>
    </w:p>
    <w:p w14:paraId="610A5BA5" w14:textId="7854D97E"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贵公司本纳税年度计入财务费用的利息支出账载金额</w:t>
      </w:r>
      <w:r w:rsidR="00FA5C9D"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元，按税收法规规定计算的税前扣除利息支出金额</w:t>
      </w:r>
      <w:r w:rsidR="00FA5C9D"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元，纳税调整增加经审核确认为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w:t>
      </w:r>
    </w:p>
    <w:p w14:paraId="656AC1CC"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（7）罚金、罚款和被没收财物的损失的审核</w:t>
      </w:r>
    </w:p>
    <w:p w14:paraId="4B99AEC9" w14:textId="483C0495"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贵公司本纳税年度罚金、罚款和被没收财物支出</w:t>
      </w:r>
      <w:r w:rsidR="007445AC"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元，按税收法规规定允许扣除金额</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元，纳税调整增加经审核确认为</w:t>
      </w:r>
      <w:r w:rsidR="007445AC"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w:t>
      </w:r>
    </w:p>
    <w:p w14:paraId="61D342A3"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（8）税收滞纳金、加收利息的审核</w:t>
      </w:r>
    </w:p>
    <w:p w14:paraId="00B05D75" w14:textId="71995EB4"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贵公司本纳税年度发生的税收滞纳金</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元，按税收法规规定允许扣除金额</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元，贵公司自报纳税调整</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元，纳税调整经审核确认为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w:t>
      </w:r>
    </w:p>
    <w:p w14:paraId="08FDF6B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（9）赞助支出的审核</w:t>
      </w:r>
    </w:p>
    <w:p w14:paraId="11EFBB6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贵公司本纳税年度账载赞助支出为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元，按税收法规规定不允许在税前扣除，贵公司自报纳税调整增加为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元，纳税调整增加经审核确认为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w:t>
      </w:r>
    </w:p>
    <w:p w14:paraId="34F63939"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（10）与未实现融资收益相关在当期确认的财务费用</w:t>
      </w:r>
    </w:p>
    <w:p w14:paraId="64FE2220"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贵公司本纳税年度不存在与未实现融资收益相关在当期确认的财务费用事项。</w:t>
      </w:r>
    </w:p>
    <w:p w14:paraId="047002B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（11）佣金和手续费支出</w:t>
      </w:r>
    </w:p>
    <w:p w14:paraId="58255450"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贵公司本纳税年度账载佣金和手续费支出为</w:t>
      </w:r>
      <w:r w:rsidR="00055EA0"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元，按税收法规规定计算的税前扣除佣金和手续费支出金额</w:t>
      </w:r>
      <w:r w:rsidR="00055EA0"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元，纳税调整增加经审核确认为0.00元。</w:t>
      </w:r>
    </w:p>
    <w:p w14:paraId="2B206A7D"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（12）不征税收入用于支出所形成的费用的审核</w:t>
      </w:r>
    </w:p>
    <w:p w14:paraId="15A206B1"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贵公司本纳税年度不存在不征税收入用于支出所形成的费用事项。</w:t>
      </w:r>
    </w:p>
    <w:p w14:paraId="03E78082"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（13）跨期扣除项目</w:t>
      </w:r>
    </w:p>
    <w:p w14:paraId="6339A449"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贵公司本纳税年度不存在跨期扣除项目的费用事项。</w:t>
      </w:r>
    </w:p>
    <w:p w14:paraId="3560730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（14）与取得收入无关的支出</w:t>
      </w:r>
    </w:p>
    <w:p w14:paraId="502A1D66"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贵公司本纳税年度不存在与取得收入无关的支出事项。</w:t>
      </w:r>
    </w:p>
    <w:p w14:paraId="7AB6B8E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（15）境外所得分摊的共同支出</w:t>
      </w:r>
    </w:p>
    <w:p w14:paraId="4EE16B5C"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贵公司本纳税年度不存在境外所得分摊的共同支出事项。</w:t>
      </w:r>
    </w:p>
    <w:p w14:paraId="38E08DA7"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（16）其他的审核</w:t>
      </w:r>
    </w:p>
    <w:p w14:paraId="19A7025B"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贵公司本纳税年度不存在其他的审核事项。</w:t>
      </w:r>
    </w:p>
    <w:p w14:paraId="371229DC"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1.3.资产类调整项目的审核</w:t>
      </w:r>
    </w:p>
    <w:p w14:paraId="4EDCBDBB" w14:textId="77777777" w:rsidR="000D1251" w:rsidRPr="00135E1B" w:rsidRDefault="001A78B5">
      <w:pPr>
        <w:tabs>
          <w:tab w:val="left" w:pos="36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（1）资产折旧、摊销</w:t>
      </w:r>
    </w:p>
    <w:p w14:paraId="05677C7D" w14:textId="77777777" w:rsidR="000D1251" w:rsidRPr="00135E1B" w:rsidRDefault="001A78B5">
      <w:pPr>
        <w:tabs>
          <w:tab w:val="left" w:pos="36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① 固定资产折旧的审核</w:t>
      </w:r>
    </w:p>
    <w:p w14:paraId="6E1F7ACF" w14:textId="4251B250"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lastRenderedPageBreak/>
        <w:t>贵公司本纳税年度</w:t>
      </w:r>
      <w:r w:rsidR="00D940D6" w:rsidRPr="00135E1B">
        <w:rPr>
          <w:rFonts w:asciiTheme="minorEastAsia" w:eastAsiaTheme="minorEastAsia" w:hAnsiTheme="minorEastAsia" w:cstheme="minorEastAsia" w:hint="eastAsia"/>
          <w:color w:val="FF0000"/>
          <w:sz w:val="24"/>
        </w:rPr>
        <w:t>列支</w:t>
      </w:r>
      <w:r w:rsidRPr="00135E1B">
        <w:rPr>
          <w:rFonts w:asciiTheme="minorEastAsia" w:eastAsiaTheme="minorEastAsia" w:hAnsiTheme="minorEastAsia" w:cstheme="minorEastAsia" w:hint="eastAsia"/>
          <w:color w:val="FF0000"/>
          <w:sz w:val="24"/>
        </w:rPr>
        <w:t>固定资产折旧</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元，按税收法规规定本纳税年度可税前扣除的固定资产折旧</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元，纳税调整增加经审核确认为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48B74844"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② 生产性生物资产折旧的审核</w:t>
      </w:r>
    </w:p>
    <w:p w14:paraId="3C17ED08" w14:textId="2461FB4D" w:rsidR="00461269" w:rsidRPr="00135E1B" w:rsidRDefault="00461269" w:rsidP="00461269">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贵公司本纳税年度列支</w:t>
      </w:r>
      <w:r w:rsidR="00C46C4D" w:rsidRPr="00C46C4D">
        <w:rPr>
          <w:rFonts w:asciiTheme="minorEastAsia" w:eastAsiaTheme="minorEastAsia" w:hAnsiTheme="minorEastAsia" w:cstheme="minorEastAsia" w:hint="eastAsia"/>
          <w:color w:val="FF0000"/>
          <w:sz w:val="24"/>
        </w:rPr>
        <w:t>生产性生物资产折旧</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元，按税收法规规定本纳税年度可税前扣除的</w:t>
      </w:r>
      <w:r w:rsidR="00C46C4D" w:rsidRPr="00C46C4D">
        <w:rPr>
          <w:rFonts w:asciiTheme="minorEastAsia" w:eastAsiaTheme="minorEastAsia" w:hAnsiTheme="minorEastAsia" w:cstheme="minorEastAsia" w:hint="eastAsia"/>
          <w:color w:val="FF0000"/>
          <w:sz w:val="24"/>
        </w:rPr>
        <w:t>生产性生物资产折旧</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元，纳税调整增加经审核确认为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7E9B89B3"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③ 无形资产摊销的审核</w:t>
      </w:r>
    </w:p>
    <w:p w14:paraId="2FFE898C" w14:textId="6C20118D" w:rsidR="000D1251" w:rsidRPr="00B2442E" w:rsidRDefault="001A78B5">
      <w:pPr>
        <w:spacing w:line="360" w:lineRule="auto"/>
        <w:ind w:firstLineChars="200" w:firstLine="480"/>
        <w:rPr>
          <w:rFonts w:asciiTheme="minorEastAsia" w:eastAsiaTheme="minorEastAsia" w:hAnsiTheme="minorEastAsia" w:cstheme="minorEastAsia"/>
          <w:color w:val="FF0000"/>
          <w:sz w:val="24"/>
        </w:rPr>
      </w:pPr>
      <w:r w:rsidRPr="00B2442E">
        <w:rPr>
          <w:rFonts w:asciiTheme="minorEastAsia" w:eastAsiaTheme="minorEastAsia" w:hAnsiTheme="minorEastAsia" w:cstheme="minorEastAsia" w:hint="eastAsia"/>
          <w:color w:val="FF0000"/>
          <w:sz w:val="24"/>
        </w:rPr>
        <w:t>贵公司本纳税年度</w:t>
      </w:r>
      <w:r w:rsidR="00D940D6" w:rsidRPr="00B2442E">
        <w:rPr>
          <w:rFonts w:asciiTheme="minorEastAsia" w:eastAsiaTheme="minorEastAsia" w:hAnsiTheme="minorEastAsia" w:cstheme="minorEastAsia" w:hint="eastAsia"/>
          <w:color w:val="FF0000"/>
          <w:sz w:val="24"/>
        </w:rPr>
        <w:t>列支</w:t>
      </w:r>
      <w:r w:rsidRPr="00B2442E">
        <w:rPr>
          <w:rFonts w:asciiTheme="minorEastAsia" w:eastAsiaTheme="minorEastAsia" w:hAnsiTheme="minorEastAsia" w:cstheme="minorEastAsia" w:hint="eastAsia"/>
          <w:color w:val="FF0000"/>
          <w:sz w:val="24"/>
        </w:rPr>
        <w:t>无形资产</w:t>
      </w:r>
      <w:r w:rsidR="007F0AD8" w:rsidRPr="00B2442E">
        <w:rPr>
          <w:rFonts w:asciiTheme="minorEastAsia" w:eastAsiaTheme="minorEastAsia" w:hAnsiTheme="minorEastAsia" w:cstheme="minorEastAsia" w:hint="eastAsia"/>
          <w:color w:val="FF0000"/>
          <w:sz w:val="24"/>
        </w:rPr>
        <w:t>摊销</w:t>
      </w:r>
      <w:r w:rsidR="00E2097B">
        <w:rPr>
          <w:rFonts w:asciiTheme="minorEastAsia" w:eastAsiaTheme="minorEastAsia" w:hAnsiTheme="minorEastAsia" w:cstheme="minorEastAsia"/>
          <w:bCs/>
          <w:color w:val="FF0000"/>
          <w:kern w:val="0"/>
          <w:sz w:val="24"/>
        </w:rPr>
        <w:t>0.00</w:t>
      </w:r>
      <w:r w:rsidRPr="00B2442E">
        <w:rPr>
          <w:rFonts w:asciiTheme="minorEastAsia" w:eastAsiaTheme="minorEastAsia" w:hAnsiTheme="minorEastAsia" w:cstheme="minorEastAsia" w:hint="eastAsia"/>
          <w:color w:val="FF0000"/>
          <w:sz w:val="24"/>
        </w:rPr>
        <w:t>元，按税收法规规定本年可税前摊销额为</w:t>
      </w:r>
      <w:r w:rsidR="00E2097B">
        <w:rPr>
          <w:rFonts w:asciiTheme="minorEastAsia" w:eastAsiaTheme="minorEastAsia" w:hAnsiTheme="minorEastAsia" w:cstheme="minorEastAsia"/>
          <w:bCs/>
          <w:color w:val="FF0000"/>
          <w:kern w:val="0"/>
          <w:sz w:val="24"/>
        </w:rPr>
        <w:t>0.00</w:t>
      </w:r>
      <w:r w:rsidRPr="00B2442E">
        <w:rPr>
          <w:rFonts w:asciiTheme="minorEastAsia" w:eastAsiaTheme="minorEastAsia" w:hAnsiTheme="minorEastAsia" w:cstheme="minorEastAsia" w:hint="eastAsia"/>
          <w:color w:val="FF0000"/>
          <w:sz w:val="24"/>
        </w:rPr>
        <w:t>元，纳税调整增加经审核确认为0.00元。</w:t>
      </w:r>
    </w:p>
    <w:p w14:paraId="52EF7A87"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④ 长期待摊费用的摊销的审核</w:t>
      </w:r>
    </w:p>
    <w:p w14:paraId="483C6F80" w14:textId="55F7CD6F" w:rsidR="000D1251" w:rsidRPr="00B2442E" w:rsidRDefault="001A78B5">
      <w:pPr>
        <w:spacing w:line="360" w:lineRule="auto"/>
        <w:ind w:firstLineChars="200" w:firstLine="480"/>
        <w:rPr>
          <w:rFonts w:asciiTheme="minorEastAsia" w:eastAsiaTheme="minorEastAsia" w:hAnsiTheme="minorEastAsia" w:cstheme="minorEastAsia"/>
          <w:color w:val="FF0000"/>
          <w:sz w:val="24"/>
        </w:rPr>
      </w:pPr>
      <w:r w:rsidRPr="00B2442E">
        <w:rPr>
          <w:rFonts w:asciiTheme="minorEastAsia" w:eastAsiaTheme="minorEastAsia" w:hAnsiTheme="minorEastAsia" w:cstheme="minorEastAsia" w:hint="eastAsia"/>
          <w:color w:val="FF0000"/>
          <w:sz w:val="24"/>
        </w:rPr>
        <w:t>贵公司本纳税年度</w:t>
      </w:r>
      <w:r w:rsidR="00D940D6" w:rsidRPr="00B2442E">
        <w:rPr>
          <w:rFonts w:asciiTheme="minorEastAsia" w:eastAsiaTheme="minorEastAsia" w:hAnsiTheme="minorEastAsia" w:cstheme="minorEastAsia" w:hint="eastAsia"/>
          <w:color w:val="FF0000"/>
          <w:sz w:val="24"/>
        </w:rPr>
        <w:t>列支</w:t>
      </w:r>
      <w:r w:rsidRPr="00B2442E">
        <w:rPr>
          <w:rFonts w:asciiTheme="minorEastAsia" w:eastAsiaTheme="minorEastAsia" w:hAnsiTheme="minorEastAsia" w:cstheme="minorEastAsia" w:hint="eastAsia"/>
          <w:color w:val="FF0000"/>
          <w:sz w:val="24"/>
        </w:rPr>
        <w:t>长期待摊费用</w:t>
      </w:r>
      <w:r w:rsidR="007F0AD8" w:rsidRPr="00B2442E">
        <w:rPr>
          <w:rFonts w:asciiTheme="minorEastAsia" w:eastAsiaTheme="minorEastAsia" w:hAnsiTheme="minorEastAsia" w:cstheme="minorEastAsia" w:hint="eastAsia"/>
          <w:color w:val="FF0000"/>
          <w:sz w:val="24"/>
        </w:rPr>
        <w:t>摊销</w:t>
      </w:r>
      <w:r w:rsidR="00E2097B">
        <w:rPr>
          <w:rFonts w:asciiTheme="minorEastAsia" w:eastAsiaTheme="minorEastAsia" w:hAnsiTheme="minorEastAsia" w:cstheme="minorEastAsia"/>
          <w:bCs/>
          <w:color w:val="FF0000"/>
          <w:kern w:val="0"/>
          <w:sz w:val="24"/>
        </w:rPr>
        <w:t>0.00</w:t>
      </w:r>
      <w:r w:rsidRPr="00B2442E">
        <w:rPr>
          <w:rFonts w:asciiTheme="minorEastAsia" w:eastAsiaTheme="minorEastAsia" w:hAnsiTheme="minorEastAsia" w:cstheme="minorEastAsia" w:hint="eastAsia"/>
          <w:color w:val="FF0000"/>
          <w:sz w:val="24"/>
        </w:rPr>
        <w:t>元，按税收法规规定本年可税前摊销为</w:t>
      </w:r>
      <w:r w:rsidR="00E2097B">
        <w:rPr>
          <w:rFonts w:asciiTheme="minorEastAsia" w:eastAsiaTheme="minorEastAsia" w:hAnsiTheme="minorEastAsia" w:cstheme="minorEastAsia"/>
          <w:bCs/>
          <w:color w:val="FF0000"/>
          <w:kern w:val="0"/>
          <w:sz w:val="24"/>
        </w:rPr>
        <w:t>0.00</w:t>
      </w:r>
      <w:r w:rsidRPr="00B2442E">
        <w:rPr>
          <w:rFonts w:asciiTheme="minorEastAsia" w:eastAsiaTheme="minorEastAsia" w:hAnsiTheme="minorEastAsia" w:cstheme="minorEastAsia" w:hint="eastAsia"/>
          <w:color w:val="FF0000"/>
          <w:sz w:val="24"/>
        </w:rPr>
        <w:t>元，纳税调整经审核确认为0.00元。</w:t>
      </w:r>
    </w:p>
    <w:p w14:paraId="518E4EE6" w14:textId="77777777" w:rsidR="000D1251" w:rsidRPr="00135E1B" w:rsidRDefault="001A78B5">
      <w:pPr>
        <w:tabs>
          <w:tab w:val="left" w:pos="54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（2）资产减值准备金</w:t>
      </w:r>
    </w:p>
    <w:p w14:paraId="5B75BFB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① 坏（呆）账准备的审核</w:t>
      </w:r>
    </w:p>
    <w:p w14:paraId="4F49D555" w14:textId="524187C2"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贵公司本纳税年度账面</w:t>
      </w:r>
      <w:r w:rsidR="00191F36" w:rsidRPr="00135E1B">
        <w:rPr>
          <w:rFonts w:asciiTheme="minorEastAsia" w:eastAsiaTheme="minorEastAsia" w:hAnsiTheme="minorEastAsia" w:cstheme="minorEastAsia" w:hint="eastAsia"/>
          <w:sz w:val="24"/>
        </w:rPr>
        <w:t>确认</w:t>
      </w:r>
      <w:r w:rsidRPr="00135E1B">
        <w:rPr>
          <w:rFonts w:asciiTheme="minorEastAsia" w:eastAsiaTheme="minorEastAsia" w:hAnsiTheme="minorEastAsia" w:cstheme="minorEastAsia" w:hint="eastAsia"/>
          <w:sz w:val="24"/>
        </w:rPr>
        <w:t>坏账准备</w:t>
      </w:r>
      <w:r w:rsidR="00191F36" w:rsidRPr="00135E1B">
        <w:rPr>
          <w:rFonts w:asciiTheme="minorEastAsia" w:eastAsiaTheme="minorEastAsia" w:hAnsiTheme="minorEastAsia" w:cstheme="minorEastAsia"/>
          <w:kern w:val="0"/>
          <w:sz w:val="24"/>
          <w:lang w:bidi="ar"/>
        </w:rPr>
        <w:t>0.00</w:t>
      </w:r>
      <w:r w:rsidRPr="00135E1B">
        <w:rPr>
          <w:rFonts w:asciiTheme="minorEastAsia" w:eastAsiaTheme="minorEastAsia" w:hAnsiTheme="minorEastAsia" w:cstheme="minorEastAsia" w:hint="eastAsia"/>
          <w:sz w:val="24"/>
        </w:rPr>
        <w:t>元，按税收法规应作纳税调整，纳税调整</w:t>
      </w:r>
      <w:r w:rsidR="00191F36" w:rsidRPr="00135E1B">
        <w:rPr>
          <w:rFonts w:asciiTheme="minorEastAsia" w:eastAsiaTheme="minorEastAsia" w:hAnsiTheme="minorEastAsia" w:cstheme="minorEastAsia" w:hint="eastAsia"/>
          <w:sz w:val="24"/>
        </w:rPr>
        <w:t>增加</w:t>
      </w:r>
      <w:r w:rsidRPr="00135E1B">
        <w:rPr>
          <w:rFonts w:asciiTheme="minorEastAsia" w:eastAsiaTheme="minorEastAsia" w:hAnsiTheme="minorEastAsia" w:cstheme="minorEastAsia" w:hint="eastAsia"/>
          <w:sz w:val="24"/>
        </w:rPr>
        <w:t>经审确认为</w:t>
      </w:r>
      <w:r w:rsidR="00191F36" w:rsidRPr="00135E1B">
        <w:rPr>
          <w:rFonts w:asciiTheme="minorEastAsia" w:eastAsiaTheme="minorEastAsia" w:hAnsiTheme="minorEastAsia" w:cstheme="minorEastAsia"/>
          <w:kern w:val="0"/>
          <w:sz w:val="24"/>
          <w:lang w:bidi="ar"/>
        </w:rPr>
        <w:t>0.00</w:t>
      </w:r>
      <w:r w:rsidR="00191F36" w:rsidRPr="00135E1B">
        <w:rPr>
          <w:rFonts w:asciiTheme="minorEastAsia" w:eastAsiaTheme="minorEastAsia" w:hAnsiTheme="minorEastAsia" w:cstheme="minorEastAsia" w:hint="eastAsia"/>
          <w:kern w:val="0"/>
          <w:sz w:val="24"/>
          <w:lang w:bidi="ar"/>
        </w:rPr>
        <w:t>元</w:t>
      </w:r>
      <w:r w:rsidRPr="00135E1B">
        <w:rPr>
          <w:rFonts w:asciiTheme="minorEastAsia" w:eastAsiaTheme="minorEastAsia" w:hAnsiTheme="minorEastAsia" w:cstheme="minorEastAsia" w:hint="eastAsia"/>
          <w:sz w:val="24"/>
        </w:rPr>
        <w:t>。</w:t>
      </w:r>
    </w:p>
    <w:p w14:paraId="5E89FAA3"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② 存货跌价准备的审核</w:t>
      </w:r>
    </w:p>
    <w:p w14:paraId="6E613A78"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贵公司本纳税年度计提存货跌价准备</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元，按税收法规不允许在税前扣除，纳税调整增加经审核确认为</w:t>
      </w:r>
      <w:r w:rsidRPr="00135E1B">
        <w:rPr>
          <w:rFonts w:asciiTheme="minorEastAsia" w:eastAsiaTheme="minorEastAsia" w:hAnsiTheme="minorEastAsia" w:cstheme="minorEastAsia" w:hint="eastAsia"/>
          <w:kern w:val="0"/>
          <w:sz w:val="24"/>
          <w:lang w:bidi="ar"/>
        </w:rPr>
        <w:t>0.00</w:t>
      </w:r>
      <w:r w:rsidRPr="00135E1B">
        <w:rPr>
          <w:rFonts w:asciiTheme="minorEastAsia" w:eastAsiaTheme="minorEastAsia" w:hAnsiTheme="minorEastAsia" w:cstheme="minorEastAsia" w:hint="eastAsia"/>
          <w:sz w:val="24"/>
        </w:rPr>
        <w:t>元。</w:t>
      </w:r>
    </w:p>
    <w:p w14:paraId="230D0615" w14:textId="77777777" w:rsidR="000D1251" w:rsidRPr="00135E1B" w:rsidRDefault="001A78B5">
      <w:pPr>
        <w:tabs>
          <w:tab w:val="left" w:pos="540"/>
        </w:tabs>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（3）资产损失</w:t>
      </w:r>
    </w:p>
    <w:p w14:paraId="45AF0A1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fldChar w:fldCharType="begin"/>
      </w:r>
      <w:r w:rsidRPr="00135E1B">
        <w:rPr>
          <w:rFonts w:asciiTheme="minorEastAsia" w:eastAsiaTheme="minorEastAsia" w:hAnsiTheme="minorEastAsia" w:cstheme="minorEastAsia" w:hint="eastAsia"/>
          <w:sz w:val="24"/>
        </w:rPr>
        <w:instrText xml:space="preserve"> = 1 \* GB3 </w:instrText>
      </w:r>
      <w:r w:rsidRPr="00135E1B">
        <w:rPr>
          <w:rFonts w:asciiTheme="minorEastAsia" w:eastAsiaTheme="minorEastAsia" w:hAnsiTheme="minorEastAsia" w:cstheme="minorEastAsia" w:hint="eastAsia"/>
          <w:sz w:val="24"/>
        </w:rPr>
        <w:fldChar w:fldCharType="separate"/>
      </w:r>
      <w:r w:rsidRPr="00135E1B">
        <w:rPr>
          <w:rFonts w:asciiTheme="minorEastAsia" w:eastAsiaTheme="minorEastAsia" w:hAnsiTheme="minorEastAsia" w:cstheme="minorEastAsia" w:hint="eastAsia"/>
          <w:sz w:val="24"/>
        </w:rPr>
        <w:t>①</w:t>
      </w:r>
      <w:r w:rsidRPr="00135E1B">
        <w:rPr>
          <w:rFonts w:asciiTheme="minorEastAsia" w:eastAsiaTheme="minorEastAsia" w:hAnsiTheme="minorEastAsia" w:cstheme="minorEastAsia" w:hint="eastAsia"/>
          <w:sz w:val="24"/>
        </w:rPr>
        <w:fldChar w:fldCharType="end"/>
      </w:r>
      <w:r w:rsidRPr="00135E1B">
        <w:rPr>
          <w:rFonts w:asciiTheme="minorEastAsia" w:eastAsiaTheme="minorEastAsia" w:hAnsiTheme="minorEastAsia" w:cstheme="minorEastAsia" w:hint="eastAsia"/>
          <w:sz w:val="24"/>
        </w:rPr>
        <w:t xml:space="preserve"> 清单申报资产损失的审核</w:t>
      </w:r>
    </w:p>
    <w:p w14:paraId="6723634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贵公司本纳税年度不存在清单申报资产损失事项。</w:t>
      </w:r>
    </w:p>
    <w:p w14:paraId="53A59BB3"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fldChar w:fldCharType="begin"/>
      </w:r>
      <w:r w:rsidRPr="00135E1B">
        <w:rPr>
          <w:rFonts w:asciiTheme="minorEastAsia" w:eastAsiaTheme="minorEastAsia" w:hAnsiTheme="minorEastAsia" w:cstheme="minorEastAsia" w:hint="eastAsia"/>
          <w:sz w:val="24"/>
        </w:rPr>
        <w:instrText xml:space="preserve"> = 2 \* GB3 </w:instrText>
      </w:r>
      <w:r w:rsidRPr="00135E1B">
        <w:rPr>
          <w:rFonts w:asciiTheme="minorEastAsia" w:eastAsiaTheme="minorEastAsia" w:hAnsiTheme="minorEastAsia" w:cstheme="minorEastAsia" w:hint="eastAsia"/>
          <w:sz w:val="24"/>
        </w:rPr>
        <w:fldChar w:fldCharType="separate"/>
      </w:r>
      <w:r w:rsidRPr="00135E1B">
        <w:rPr>
          <w:rFonts w:asciiTheme="minorEastAsia" w:eastAsiaTheme="minorEastAsia" w:hAnsiTheme="minorEastAsia" w:cstheme="minorEastAsia" w:hint="eastAsia"/>
          <w:sz w:val="24"/>
        </w:rPr>
        <w:t>②</w:t>
      </w:r>
      <w:r w:rsidRPr="00135E1B">
        <w:rPr>
          <w:rFonts w:asciiTheme="minorEastAsia" w:eastAsiaTheme="minorEastAsia" w:hAnsiTheme="minorEastAsia" w:cstheme="minorEastAsia" w:hint="eastAsia"/>
          <w:sz w:val="24"/>
        </w:rPr>
        <w:fldChar w:fldCharType="end"/>
      </w:r>
      <w:r w:rsidRPr="00135E1B">
        <w:rPr>
          <w:rFonts w:asciiTheme="minorEastAsia" w:eastAsiaTheme="minorEastAsia" w:hAnsiTheme="minorEastAsia" w:cstheme="minorEastAsia" w:hint="eastAsia"/>
          <w:sz w:val="24"/>
        </w:rPr>
        <w:t xml:space="preserve"> 专项申报资产损失的审核</w:t>
      </w:r>
    </w:p>
    <w:p w14:paraId="1352FF3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贵公司本纳税年度不存在专项申报资产损失事项。</w:t>
      </w:r>
    </w:p>
    <w:p w14:paraId="72169F7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（4）其他</w:t>
      </w:r>
    </w:p>
    <w:p w14:paraId="68F1D142"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贵公司本纳税年度不存在会计与税收有差异需要纳税调整的其他资产类调整项目。</w:t>
      </w:r>
    </w:p>
    <w:p w14:paraId="1FF5B036" w14:textId="6190C6AF" w:rsidR="000D1251" w:rsidRPr="00135E1B" w:rsidRDefault="001A78B5">
      <w:pPr>
        <w:spacing w:line="360" w:lineRule="auto"/>
        <w:ind w:leftChars="200" w:left="420"/>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1.4</w:t>
      </w:r>
      <w:r w:rsidR="00E43495">
        <w:rPr>
          <w:rFonts w:asciiTheme="minorEastAsia" w:eastAsiaTheme="minorEastAsia" w:hAnsiTheme="minorEastAsia" w:cstheme="minorEastAsia"/>
          <w:b/>
          <w:sz w:val="24"/>
        </w:rPr>
        <w:t xml:space="preserve"> </w:t>
      </w:r>
      <w:r w:rsidRPr="00135E1B">
        <w:rPr>
          <w:rFonts w:asciiTheme="minorEastAsia" w:eastAsiaTheme="minorEastAsia" w:hAnsiTheme="minorEastAsia" w:cstheme="minorEastAsia" w:hint="eastAsia"/>
          <w:b/>
          <w:sz w:val="24"/>
        </w:rPr>
        <w:t>特殊事项调整项目的审核</w:t>
      </w:r>
    </w:p>
    <w:p w14:paraId="04E38D7E" w14:textId="5F26AC22" w:rsidR="0001617E" w:rsidRPr="00135E1B" w:rsidRDefault="0001617E" w:rsidP="0001617E">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w:t>
      </w:r>
      <w:r w:rsidRPr="00135E1B">
        <w:rPr>
          <w:rFonts w:asciiTheme="minorEastAsia" w:eastAsiaTheme="minorEastAsia" w:hAnsiTheme="minorEastAsia" w:cstheme="minorEastAsia"/>
          <w:color w:val="FF0000"/>
          <w:sz w:val="24"/>
        </w:rPr>
        <w:t>1</w:t>
      </w:r>
      <w:r w:rsidRPr="00135E1B">
        <w:rPr>
          <w:rFonts w:asciiTheme="minorEastAsia" w:eastAsiaTheme="minorEastAsia" w:hAnsiTheme="minorEastAsia" w:cstheme="minorEastAsia" w:hint="eastAsia"/>
          <w:color w:val="FF0000"/>
          <w:sz w:val="24"/>
        </w:rPr>
        <w:t>）房地产开发企业特定业务计算的纳税调整</w:t>
      </w:r>
    </w:p>
    <w:p w14:paraId="28B7C6FC" w14:textId="18BD5864" w:rsidR="0001617E" w:rsidRPr="00135E1B" w:rsidRDefault="0001617E" w:rsidP="0001617E">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贵公司本年度销售未完工产品按预计计税毛利率（</w:t>
      </w:r>
      <w:r w:rsidR="00E72680">
        <w:rPr>
          <w:rFonts w:asciiTheme="minorEastAsia" w:eastAsiaTheme="minorEastAsia" w:hAnsiTheme="minorEastAsia" w:cstheme="minorEastAsia" w:hint="eastAsia"/>
          <w:color w:val="FF0000"/>
          <w:sz w:val="24"/>
        </w:rPr>
        <w:t>1</w:t>
      </w:r>
      <w:r w:rsidRPr="00135E1B">
        <w:rPr>
          <w:rFonts w:asciiTheme="minorEastAsia" w:eastAsiaTheme="minorEastAsia" w:hAnsiTheme="minorEastAsia" w:cstheme="minorEastAsia" w:hint="eastAsia"/>
          <w:color w:val="FF0000"/>
          <w:sz w:val="24"/>
        </w:rPr>
        <w:t>5%）计算预计毛利额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元，根据《关于印发〈房地产开发经营业务企业所得税处理办法〉的通知》（国</w:t>
      </w:r>
      <w:r w:rsidRPr="00135E1B">
        <w:rPr>
          <w:rFonts w:asciiTheme="minorEastAsia" w:eastAsiaTheme="minorEastAsia" w:hAnsiTheme="minorEastAsia" w:cstheme="minorEastAsia" w:hint="eastAsia"/>
          <w:color w:val="FF0000"/>
          <w:sz w:val="24"/>
        </w:rPr>
        <w:lastRenderedPageBreak/>
        <w:t>税发[2009]31号）规定，审核确认税收金额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元，审核确认纳税调整增加</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元，审核确认纳税调整减少0.00元。具体调整情况如下：</w:t>
      </w:r>
    </w:p>
    <w:p w14:paraId="2D5976F7" w14:textId="4796B42A" w:rsidR="0001617E" w:rsidRPr="00135E1B" w:rsidRDefault="000A70EB" w:rsidP="0001617E">
      <w:pPr>
        <w:spacing w:line="360" w:lineRule="auto"/>
        <w:ind w:firstLineChars="200" w:firstLine="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①</w:t>
      </w:r>
      <w:r w:rsidR="0001617E" w:rsidRPr="00135E1B">
        <w:rPr>
          <w:rFonts w:asciiTheme="minorEastAsia" w:eastAsiaTheme="minorEastAsia" w:hAnsiTheme="minorEastAsia" w:cstheme="minorEastAsia" w:hint="eastAsia"/>
          <w:color w:val="FF0000"/>
          <w:sz w:val="24"/>
        </w:rPr>
        <w:t>房地产企业销售未完工开发产品特定业务计算的纳税调整额</w:t>
      </w:r>
      <w:r w:rsidR="00E2097B">
        <w:rPr>
          <w:rFonts w:asciiTheme="minorEastAsia" w:eastAsiaTheme="minorEastAsia" w:hAnsiTheme="minorEastAsia" w:cstheme="minorEastAsia"/>
          <w:bCs/>
          <w:color w:val="FF0000"/>
          <w:kern w:val="0"/>
          <w:sz w:val="24"/>
        </w:rPr>
        <w:t>0.00</w:t>
      </w:r>
      <w:r w:rsidR="0001617E" w:rsidRPr="00135E1B">
        <w:rPr>
          <w:rFonts w:asciiTheme="minorEastAsia" w:eastAsiaTheme="minorEastAsia" w:hAnsiTheme="minorEastAsia" w:cstheme="minorEastAsia" w:hint="eastAsia"/>
          <w:color w:val="FF0000"/>
          <w:sz w:val="24"/>
        </w:rPr>
        <w:t>元（B- C）；</w:t>
      </w:r>
    </w:p>
    <w:p w14:paraId="5C35ABDF" w14:textId="0B6FC4A1" w:rsidR="0001617E" w:rsidRPr="00135E1B" w:rsidRDefault="0001617E" w:rsidP="0001617E">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A.销售未完工产品的税收金额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w:t>
      </w:r>
    </w:p>
    <w:p w14:paraId="120F6CCF" w14:textId="7EA57F1C" w:rsidR="0001617E" w:rsidRPr="00135E1B" w:rsidRDefault="0001617E" w:rsidP="0001617E">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B.销售未完工产品预计毛利额（税收金额）</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元，审核确认纳税调整增加</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元，审核确认纳税调整减少0.00元；</w:t>
      </w:r>
    </w:p>
    <w:p w14:paraId="74CDF473" w14:textId="2733B9E6" w:rsidR="0001617E" w:rsidRDefault="0001617E" w:rsidP="0001617E">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C. 被审核单位实际发生的税金及附加、土地增值税（税收金额）已计入当期损益，无需纳税调整；</w:t>
      </w:r>
    </w:p>
    <w:p w14:paraId="5F99C5C5" w14:textId="5A77B848" w:rsidR="000A70EB" w:rsidRPr="000A70EB" w:rsidRDefault="000A70EB" w:rsidP="000A70EB">
      <w:pPr>
        <w:spacing w:line="360" w:lineRule="auto"/>
        <w:ind w:firstLineChars="200" w:firstLine="480"/>
        <w:rPr>
          <w:rFonts w:asciiTheme="minorEastAsia" w:eastAsiaTheme="minorEastAsia" w:hAnsiTheme="minorEastAsia" w:cstheme="minorEastAsia"/>
          <w:color w:val="FF0000"/>
          <w:sz w:val="24"/>
        </w:rPr>
      </w:pPr>
      <w:r w:rsidRPr="000A70EB">
        <w:rPr>
          <w:rFonts w:asciiTheme="minorEastAsia" w:eastAsiaTheme="minorEastAsia" w:hAnsiTheme="minorEastAsia" w:cstheme="minorEastAsia" w:hint="eastAsia"/>
          <w:color w:val="FF0000"/>
          <w:sz w:val="24"/>
        </w:rPr>
        <w:t>② 房地产企业销售的未完工产品转完工产品特定业务计算的纳税调整额</w:t>
      </w:r>
      <w:r w:rsidR="00E2097B">
        <w:rPr>
          <w:rFonts w:asciiTheme="minorEastAsia" w:eastAsiaTheme="minorEastAsia" w:hAnsiTheme="minorEastAsia" w:cstheme="minorEastAsia"/>
          <w:bCs/>
          <w:color w:val="FF0000"/>
          <w:kern w:val="0"/>
          <w:sz w:val="24"/>
        </w:rPr>
        <w:t>0.00</w:t>
      </w:r>
      <w:r w:rsidRPr="000A70EB">
        <w:rPr>
          <w:rFonts w:asciiTheme="minorEastAsia" w:eastAsiaTheme="minorEastAsia" w:hAnsiTheme="minorEastAsia" w:cstheme="minorEastAsia" w:hint="eastAsia"/>
          <w:color w:val="FF0000"/>
          <w:sz w:val="24"/>
        </w:rPr>
        <w:t>元（B- C）；</w:t>
      </w:r>
    </w:p>
    <w:p w14:paraId="2944FF05" w14:textId="27965A07" w:rsidR="000A70EB" w:rsidRPr="000A70EB" w:rsidRDefault="000A70EB" w:rsidP="000A70EB">
      <w:pPr>
        <w:spacing w:line="360" w:lineRule="auto"/>
        <w:ind w:firstLineChars="200" w:firstLine="480"/>
        <w:rPr>
          <w:rFonts w:asciiTheme="minorEastAsia" w:eastAsiaTheme="minorEastAsia" w:hAnsiTheme="minorEastAsia" w:cstheme="minorEastAsia"/>
          <w:color w:val="FF0000"/>
          <w:sz w:val="24"/>
        </w:rPr>
      </w:pPr>
      <w:r w:rsidRPr="000A70EB">
        <w:rPr>
          <w:rFonts w:asciiTheme="minorEastAsia" w:eastAsiaTheme="minorEastAsia" w:hAnsiTheme="minorEastAsia" w:cstheme="minorEastAsia" w:hint="eastAsia"/>
          <w:color w:val="FF0000"/>
          <w:sz w:val="24"/>
        </w:rPr>
        <w:t>A.销售未完工产品转完工产品确认的销售收入（税收金额）</w:t>
      </w:r>
      <w:r w:rsidR="00E2097B">
        <w:rPr>
          <w:rFonts w:asciiTheme="minorEastAsia" w:eastAsiaTheme="minorEastAsia" w:hAnsiTheme="minorEastAsia" w:cstheme="minorEastAsia"/>
          <w:bCs/>
          <w:color w:val="FF0000"/>
          <w:kern w:val="0"/>
          <w:sz w:val="24"/>
        </w:rPr>
        <w:t>0.00</w:t>
      </w:r>
      <w:r w:rsidRPr="000A70EB">
        <w:rPr>
          <w:rFonts w:asciiTheme="minorEastAsia" w:eastAsiaTheme="minorEastAsia" w:hAnsiTheme="minorEastAsia" w:cstheme="minorEastAsia" w:hint="eastAsia"/>
          <w:color w:val="FF0000"/>
          <w:sz w:val="24"/>
        </w:rPr>
        <w:t>元；</w:t>
      </w:r>
    </w:p>
    <w:p w14:paraId="56F81E3C" w14:textId="47CD870B" w:rsidR="000A70EB" w:rsidRPr="000A70EB" w:rsidRDefault="000A70EB" w:rsidP="000A70EB">
      <w:pPr>
        <w:spacing w:line="360" w:lineRule="auto"/>
        <w:ind w:firstLineChars="200" w:firstLine="480"/>
        <w:rPr>
          <w:rFonts w:asciiTheme="minorEastAsia" w:eastAsiaTheme="minorEastAsia" w:hAnsiTheme="minorEastAsia" w:cstheme="minorEastAsia"/>
          <w:color w:val="FF0000"/>
          <w:sz w:val="24"/>
        </w:rPr>
      </w:pPr>
      <w:r w:rsidRPr="000A70EB">
        <w:rPr>
          <w:rFonts w:asciiTheme="minorEastAsia" w:eastAsiaTheme="minorEastAsia" w:hAnsiTheme="minorEastAsia" w:cstheme="minorEastAsia" w:hint="eastAsia"/>
          <w:color w:val="FF0000"/>
          <w:sz w:val="24"/>
        </w:rPr>
        <w:t>B.转回的销售未完工产品预计毛利额（税收金额）</w:t>
      </w:r>
      <w:r w:rsidR="00E2097B">
        <w:rPr>
          <w:rFonts w:asciiTheme="minorEastAsia" w:eastAsiaTheme="minorEastAsia" w:hAnsiTheme="minorEastAsia" w:cstheme="minorEastAsia"/>
          <w:bCs/>
          <w:color w:val="FF0000"/>
          <w:kern w:val="0"/>
          <w:sz w:val="24"/>
        </w:rPr>
        <w:t>0.00</w:t>
      </w:r>
      <w:r w:rsidRPr="000A70EB">
        <w:rPr>
          <w:rFonts w:asciiTheme="minorEastAsia" w:eastAsiaTheme="minorEastAsia" w:hAnsiTheme="minorEastAsia" w:cstheme="minorEastAsia" w:hint="eastAsia"/>
          <w:color w:val="FF0000"/>
          <w:sz w:val="24"/>
        </w:rPr>
        <w:t>元，审核确认纳税调整增加0.00元，审核确认纳税调整减少</w:t>
      </w:r>
      <w:r w:rsidR="00E2097B">
        <w:rPr>
          <w:rFonts w:asciiTheme="minorEastAsia" w:eastAsiaTheme="minorEastAsia" w:hAnsiTheme="minorEastAsia" w:cstheme="minorEastAsia"/>
          <w:bCs/>
          <w:color w:val="FF0000"/>
          <w:kern w:val="0"/>
          <w:sz w:val="24"/>
        </w:rPr>
        <w:t>0.00</w:t>
      </w:r>
      <w:r w:rsidRPr="000A70EB">
        <w:rPr>
          <w:rFonts w:asciiTheme="minorEastAsia" w:eastAsiaTheme="minorEastAsia" w:hAnsiTheme="minorEastAsia" w:cstheme="minorEastAsia" w:hint="eastAsia"/>
          <w:color w:val="FF0000"/>
          <w:sz w:val="24"/>
        </w:rPr>
        <w:t>元；</w:t>
      </w:r>
    </w:p>
    <w:p w14:paraId="066F7756" w14:textId="07ACBF37" w:rsidR="000A70EB" w:rsidRPr="00135E1B" w:rsidRDefault="000A70EB" w:rsidP="000A70EB">
      <w:pPr>
        <w:spacing w:line="360" w:lineRule="auto"/>
        <w:ind w:firstLineChars="200" w:firstLine="480"/>
        <w:rPr>
          <w:rFonts w:asciiTheme="minorEastAsia" w:eastAsiaTheme="minorEastAsia" w:hAnsiTheme="minorEastAsia" w:cstheme="minorEastAsia"/>
          <w:color w:val="FF0000"/>
          <w:sz w:val="24"/>
        </w:rPr>
      </w:pPr>
      <w:r w:rsidRPr="000A70EB">
        <w:rPr>
          <w:rFonts w:asciiTheme="minorEastAsia" w:eastAsiaTheme="minorEastAsia" w:hAnsiTheme="minorEastAsia" w:cstheme="minorEastAsia" w:hint="eastAsia"/>
          <w:color w:val="FF0000"/>
          <w:sz w:val="24"/>
        </w:rPr>
        <w:t>C. 被审核单位实际发生的税金及附加、土地增值税（税收金额）已计入当期损益，无需纳税调整。</w:t>
      </w:r>
    </w:p>
    <w:p w14:paraId="5790C019" w14:textId="3A7AE68B"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1.5.</w:t>
      </w:r>
      <w:r w:rsidR="003452FB" w:rsidRPr="00135E1B">
        <w:rPr>
          <w:rFonts w:asciiTheme="minorEastAsia" w:eastAsiaTheme="minorEastAsia" w:hAnsiTheme="minorEastAsia" w:cstheme="minorEastAsia"/>
          <w:b/>
          <w:sz w:val="24"/>
        </w:rPr>
        <w:t xml:space="preserve"> </w:t>
      </w:r>
      <w:r w:rsidRPr="00135E1B">
        <w:rPr>
          <w:rFonts w:asciiTheme="minorEastAsia" w:eastAsiaTheme="minorEastAsia" w:hAnsiTheme="minorEastAsia" w:cstheme="minorEastAsia" w:hint="eastAsia"/>
          <w:b/>
          <w:sz w:val="24"/>
        </w:rPr>
        <w:t>特别纳税调整应税所得的审核</w:t>
      </w:r>
    </w:p>
    <w:p w14:paraId="67266847"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贵公司本纳税年度不存在此类事项。</w:t>
      </w:r>
    </w:p>
    <w:p w14:paraId="477B6CE5"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1.6 其他项目的审核</w:t>
      </w:r>
    </w:p>
    <w:p w14:paraId="650D65C1"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贵公司本纳税年度不存在此类事项。</w:t>
      </w:r>
    </w:p>
    <w:p w14:paraId="4E0591C7"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2.免税、减计收入及加计扣除的审核</w:t>
      </w:r>
    </w:p>
    <w:p w14:paraId="46B65204" w14:textId="08996A84"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贵公司本纳税年度发生免税、减计收入及加计扣除</w:t>
      </w:r>
      <w:r w:rsidR="00815D7D"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元，根据税收相关规定可税前扣除</w:t>
      </w:r>
      <w:r w:rsidR="00815D7D"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w:t>
      </w:r>
    </w:p>
    <w:p w14:paraId="5B752B4F"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2.1 免税收入的审核</w:t>
      </w:r>
    </w:p>
    <w:p w14:paraId="390B56F5"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贵公司本纳税年度不存在免税收入事项。</w:t>
      </w:r>
    </w:p>
    <w:p w14:paraId="0313C601"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2.2 减计收入的审核</w:t>
      </w:r>
    </w:p>
    <w:p w14:paraId="289FD567"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贵公司本纳税年度不存在减计收入事项。</w:t>
      </w:r>
    </w:p>
    <w:p w14:paraId="16CA9D60"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2.3 加计扣除的审核</w:t>
      </w:r>
    </w:p>
    <w:p w14:paraId="760424E4" w14:textId="2C601182"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贵公司本纳税年度审核后列支开发新技术、新产品、新工艺发生的研究开发费用</w:t>
      </w:r>
      <w:r w:rsidR="00815D7D"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元，根据税收规定及贵公司提供的留存备查资料，本年应加计扣除的金额</w:t>
      </w:r>
      <w:r w:rsidR="00815D7D" w:rsidRPr="00135E1B">
        <w:rPr>
          <w:rFonts w:asciiTheme="minorEastAsia" w:eastAsiaTheme="minorEastAsia" w:hAnsiTheme="minorEastAsia" w:cstheme="minorEastAsia"/>
          <w:sz w:val="24"/>
        </w:rPr>
        <w:t>0.00</w:t>
      </w:r>
      <w:r w:rsidRPr="00135E1B">
        <w:rPr>
          <w:rFonts w:asciiTheme="minorEastAsia" w:eastAsiaTheme="minorEastAsia" w:hAnsiTheme="minorEastAsia" w:cstheme="minorEastAsia" w:hint="eastAsia"/>
          <w:sz w:val="24"/>
        </w:rPr>
        <w:t>元。</w:t>
      </w:r>
    </w:p>
    <w:p w14:paraId="180847CD"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lastRenderedPageBreak/>
        <w:t>3.境外应税所得弥补境内亏损的审核</w:t>
      </w:r>
    </w:p>
    <w:p w14:paraId="10B73873"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贵公司本纳税年度不存在此类事项。</w:t>
      </w:r>
    </w:p>
    <w:p w14:paraId="5FFD575C" w14:textId="77777777" w:rsidR="000D1251" w:rsidRPr="00135E1B" w:rsidRDefault="001A78B5">
      <w:pPr>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（三）应纳税所得额的审核</w:t>
      </w:r>
    </w:p>
    <w:p w14:paraId="150D5E7C" w14:textId="51F8825A"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上述审核确认贵公司本纳税年度纳税调整后所得为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元，确认所得减免额为0.00元、抵扣应纳税所得额为0.00元，弥补以前年度亏损0.00元，确认贵公司本纳税年度应纳税所得额为</w:t>
      </w:r>
      <w:r w:rsidR="00E2097B">
        <w:rPr>
          <w:rFonts w:asciiTheme="minorEastAsia" w:eastAsiaTheme="minorEastAsia" w:hAnsiTheme="minorEastAsia" w:cstheme="minorEastAsia"/>
          <w:bCs/>
          <w:color w:val="FF0000"/>
          <w:kern w:val="0"/>
          <w:sz w:val="24"/>
        </w:rPr>
        <w:t>0.00</w:t>
      </w:r>
      <w:r w:rsidRPr="00135E1B">
        <w:rPr>
          <w:rFonts w:asciiTheme="minorEastAsia" w:eastAsiaTheme="minorEastAsia" w:hAnsiTheme="minorEastAsia" w:cstheme="minorEastAsia" w:hint="eastAsia"/>
          <w:color w:val="FF0000"/>
          <w:sz w:val="24"/>
        </w:rPr>
        <w:t>元。</w:t>
      </w:r>
    </w:p>
    <w:p w14:paraId="3CEE6A67" w14:textId="77777777" w:rsidR="000D1251" w:rsidRPr="00135E1B" w:rsidRDefault="001A78B5">
      <w:pPr>
        <w:spacing w:line="360" w:lineRule="auto"/>
        <w:ind w:firstLineChars="200" w:firstLine="482"/>
        <w:rPr>
          <w:rFonts w:asciiTheme="minorEastAsia" w:eastAsiaTheme="minorEastAsia" w:hAnsiTheme="minorEastAsia" w:cstheme="minorEastAsia"/>
          <w:b/>
          <w:color w:val="FF0000"/>
          <w:sz w:val="24"/>
        </w:rPr>
      </w:pPr>
      <w:r w:rsidRPr="00135E1B">
        <w:rPr>
          <w:rFonts w:asciiTheme="minorEastAsia" w:eastAsiaTheme="minorEastAsia" w:hAnsiTheme="minorEastAsia" w:cstheme="minorEastAsia" w:hint="eastAsia"/>
          <w:b/>
          <w:color w:val="FF0000"/>
          <w:sz w:val="24"/>
        </w:rPr>
        <w:t>（四）应纳所得税额的审核</w:t>
      </w:r>
    </w:p>
    <w:p w14:paraId="2174C377" w14:textId="2386E51D"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经上述审核贵公司本纳税年度应纳所得税额为</w:t>
      </w:r>
      <w:r w:rsidR="00C35DED"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元，经对下列项目进行审查，确认减免所得税额为</w:t>
      </w:r>
      <w:r w:rsidR="00C35DED"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元、抵免所得税额为0.00元、境外所得应纳所得税额为0.00元、境外所得抵免所得税额为0.00元，本年实际应纳所得税额</w:t>
      </w:r>
      <w:r w:rsidR="00C35DED"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元，本年累计实际已预缴的所得税额为0.00元，核实贵公司本纳税年度应补的所得税额为</w:t>
      </w:r>
      <w:r w:rsidR="00C35DED" w:rsidRPr="00135E1B">
        <w:rPr>
          <w:rFonts w:asciiTheme="minorEastAsia" w:eastAsiaTheme="minorEastAsia" w:hAnsiTheme="minorEastAsia" w:cstheme="minorEastAsia"/>
          <w:color w:val="FF0000"/>
          <w:sz w:val="24"/>
        </w:rPr>
        <w:t>0.00</w:t>
      </w:r>
      <w:r w:rsidRPr="00135E1B">
        <w:rPr>
          <w:rFonts w:asciiTheme="minorEastAsia" w:eastAsiaTheme="minorEastAsia" w:hAnsiTheme="minorEastAsia" w:cstheme="minorEastAsia" w:hint="eastAsia"/>
          <w:color w:val="FF0000"/>
          <w:sz w:val="24"/>
        </w:rPr>
        <w:t>元。</w:t>
      </w:r>
    </w:p>
    <w:p w14:paraId="177B821A"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（1）减免所得税额的审核</w:t>
      </w:r>
    </w:p>
    <w:p w14:paraId="783AD910" w14:textId="6FD7D532"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w:t>
      </w:r>
      <w:r w:rsidR="00261E8D" w:rsidRPr="00135E1B">
        <w:rPr>
          <w:rFonts w:asciiTheme="minorEastAsia" w:eastAsiaTheme="minorEastAsia" w:hAnsiTheme="minorEastAsia" w:cstheme="minorEastAsia" w:hint="eastAsia"/>
          <w:sz w:val="24"/>
        </w:rPr>
        <w:t>不存在</w:t>
      </w:r>
      <w:r w:rsidRPr="00135E1B">
        <w:rPr>
          <w:rFonts w:asciiTheme="minorEastAsia" w:eastAsiaTheme="minorEastAsia" w:hAnsiTheme="minorEastAsia" w:cstheme="minorEastAsia" w:hint="eastAsia"/>
          <w:sz w:val="24"/>
        </w:rPr>
        <w:t>减免所得税额</w:t>
      </w:r>
      <w:r w:rsidR="00261E8D" w:rsidRPr="00135E1B">
        <w:rPr>
          <w:rFonts w:asciiTheme="minorEastAsia" w:eastAsiaTheme="minorEastAsia" w:hAnsiTheme="minorEastAsia" w:cstheme="minorEastAsia" w:hint="eastAsia"/>
          <w:sz w:val="24"/>
        </w:rPr>
        <w:t>事项</w:t>
      </w:r>
      <w:r w:rsidRPr="00135E1B">
        <w:rPr>
          <w:rFonts w:asciiTheme="minorEastAsia" w:eastAsiaTheme="minorEastAsia" w:hAnsiTheme="minorEastAsia" w:cstheme="minorEastAsia" w:hint="eastAsia"/>
          <w:sz w:val="24"/>
        </w:rPr>
        <w:t>。</w:t>
      </w:r>
    </w:p>
    <w:p w14:paraId="04A62EC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（2）抵免所得税额的审核</w:t>
      </w:r>
    </w:p>
    <w:p w14:paraId="765E4F34"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贵公司本纳税年度不存在抵免所得税额事项。</w:t>
      </w:r>
    </w:p>
    <w:p w14:paraId="1B116AD7"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（3）境外所得应纳所得税额的审核</w:t>
      </w:r>
    </w:p>
    <w:p w14:paraId="063C71C8"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贵公司本纳税年度不存在境外所得应纳所得税额事项。</w:t>
      </w:r>
    </w:p>
    <w:p w14:paraId="57E5B78F"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（4）境外所得抵免所得税额的审核</w:t>
      </w:r>
    </w:p>
    <w:p w14:paraId="22BFC1B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贵公司本纳税年度不存在境外所得抵免所得税额事项。</w:t>
      </w:r>
    </w:p>
    <w:p w14:paraId="317852DE"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（5）本年累计实际已预缴的所得税额的审核</w:t>
      </w:r>
    </w:p>
    <w:p w14:paraId="700FD501" w14:textId="033BB88E"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w:t>
      </w:r>
      <w:r w:rsidR="00415337" w:rsidRPr="00135E1B">
        <w:rPr>
          <w:rFonts w:asciiTheme="minorEastAsia" w:eastAsiaTheme="minorEastAsia" w:hAnsiTheme="minorEastAsia" w:cstheme="minorEastAsia" w:hint="eastAsia"/>
          <w:color w:val="FF0000"/>
          <w:sz w:val="24"/>
        </w:rPr>
        <w:t>不存在</w:t>
      </w:r>
      <w:r w:rsidRPr="00135E1B">
        <w:rPr>
          <w:rFonts w:asciiTheme="minorEastAsia" w:eastAsiaTheme="minorEastAsia" w:hAnsiTheme="minorEastAsia" w:cstheme="minorEastAsia" w:hint="eastAsia"/>
          <w:color w:val="FF0000"/>
          <w:sz w:val="24"/>
        </w:rPr>
        <w:t>累计实际已预缴的所得税额为</w:t>
      </w:r>
      <w:r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2A6B76B5" w14:textId="77777777" w:rsidR="000D1251" w:rsidRPr="00135E1B"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（6）本年应补的所得税额的审核</w:t>
      </w:r>
    </w:p>
    <w:p w14:paraId="77B5D498" w14:textId="37EE64D9" w:rsidR="000D1251" w:rsidRPr="00135E1B" w:rsidRDefault="001A78B5">
      <w:pPr>
        <w:spacing w:line="360" w:lineRule="auto"/>
        <w:ind w:firstLineChars="200" w:firstLine="480"/>
        <w:rPr>
          <w:rFonts w:asciiTheme="minorEastAsia" w:eastAsiaTheme="minorEastAsia" w:hAnsiTheme="minorEastAsia" w:cstheme="minorEastAsia"/>
          <w:color w:val="FF0000"/>
          <w:sz w:val="24"/>
        </w:rPr>
      </w:pPr>
      <w:r w:rsidRPr="00135E1B">
        <w:rPr>
          <w:rFonts w:asciiTheme="minorEastAsia" w:eastAsiaTheme="minorEastAsia" w:hAnsiTheme="minorEastAsia" w:cstheme="minorEastAsia" w:hint="eastAsia"/>
          <w:color w:val="FF0000"/>
          <w:sz w:val="24"/>
        </w:rPr>
        <w:t>贵公司本纳税年度本年实际应纳的所得税额</w:t>
      </w:r>
      <w:r w:rsidR="00415337" w:rsidRPr="00135E1B">
        <w:rPr>
          <w:rFonts w:asciiTheme="minorEastAsia" w:eastAsiaTheme="minorEastAsia" w:hAnsiTheme="minorEastAsia" w:cstheme="minorEastAsia" w:hint="eastAsia"/>
          <w:color w:val="FF0000"/>
          <w:kern w:val="0"/>
          <w:sz w:val="24"/>
          <w:lang w:bidi="ar"/>
        </w:rPr>
        <w:t>0.00</w:t>
      </w:r>
      <w:r w:rsidRPr="00135E1B">
        <w:rPr>
          <w:rFonts w:asciiTheme="minorEastAsia" w:eastAsiaTheme="minorEastAsia" w:hAnsiTheme="minorEastAsia" w:cstheme="minorEastAsia" w:hint="eastAsia"/>
          <w:color w:val="FF0000"/>
          <w:sz w:val="24"/>
        </w:rPr>
        <w:t>元。</w:t>
      </w:r>
    </w:p>
    <w:p w14:paraId="15A9B911" w14:textId="77777777" w:rsidR="000D1251" w:rsidRPr="00135E1B" w:rsidRDefault="001A78B5">
      <w:pPr>
        <w:snapToGrid w:val="0"/>
        <w:spacing w:line="360" w:lineRule="auto"/>
        <w:ind w:firstLineChars="200" w:firstLine="482"/>
        <w:rPr>
          <w:rFonts w:asciiTheme="minorEastAsia" w:eastAsiaTheme="minorEastAsia" w:hAnsiTheme="minorEastAsia" w:cstheme="minorEastAsia"/>
          <w:b/>
          <w:sz w:val="24"/>
        </w:rPr>
      </w:pPr>
      <w:r w:rsidRPr="00135E1B">
        <w:rPr>
          <w:rFonts w:asciiTheme="minorEastAsia" w:eastAsiaTheme="minorEastAsia" w:hAnsiTheme="minorEastAsia" w:cstheme="minorEastAsia" w:hint="eastAsia"/>
          <w:b/>
          <w:sz w:val="24"/>
        </w:rPr>
        <w:t>五、其他事项说明</w:t>
      </w:r>
    </w:p>
    <w:p w14:paraId="2B2D7FBE" w14:textId="77777777" w:rsidR="000D1251" w:rsidRDefault="001A78B5">
      <w:pPr>
        <w:spacing w:line="360" w:lineRule="auto"/>
        <w:ind w:firstLineChars="200" w:firstLine="480"/>
        <w:rPr>
          <w:rFonts w:asciiTheme="minorEastAsia" w:eastAsiaTheme="minorEastAsia" w:hAnsiTheme="minorEastAsia" w:cstheme="minorEastAsia"/>
          <w:sz w:val="24"/>
        </w:rPr>
      </w:pPr>
      <w:r w:rsidRPr="00135E1B">
        <w:rPr>
          <w:rFonts w:asciiTheme="minorEastAsia" w:eastAsiaTheme="minorEastAsia" w:hAnsiTheme="minorEastAsia" w:cstheme="minorEastAsia" w:hint="eastAsia"/>
          <w:sz w:val="24"/>
        </w:rPr>
        <w:t>贵公司本纳税年度纳税申报表所包括的关联关系、关联交易按账载金额填列,对关联交易可能涉及的收入和成本与公允价值的差异未进行调整。</w:t>
      </w:r>
      <w:bookmarkEnd w:id="1"/>
      <w:bookmarkEnd w:id="2"/>
      <w:bookmarkEnd w:id="3"/>
      <w:bookmarkEnd w:id="4"/>
    </w:p>
    <w:sectPr w:rsidR="000D1251" w:rsidSect="001C5E5E">
      <w:headerReference w:type="default" r:id="rId8"/>
      <w:footerReference w:type="even" r:id="rId9"/>
      <w:footerReference w:type="default" r:id="rId10"/>
      <w:pgSz w:w="11907" w:h="16840"/>
      <w:pgMar w:top="1134" w:right="1701" w:bottom="1134" w:left="1701" w:header="851" w:footer="992"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1F5B" w14:textId="77777777" w:rsidR="00DB0657" w:rsidRDefault="00DB0657">
      <w:r>
        <w:separator/>
      </w:r>
    </w:p>
  </w:endnote>
  <w:endnote w:type="continuationSeparator" w:id="0">
    <w:p w14:paraId="6FBFEA5B" w14:textId="77777777" w:rsidR="00DB0657" w:rsidRDefault="00DB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A772" w14:textId="77777777" w:rsidR="000D1251" w:rsidRDefault="001A78B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7D4484AC" w14:textId="77777777" w:rsidR="000D1251" w:rsidRDefault="000D125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952886"/>
      <w:docPartObj>
        <w:docPartGallery w:val="Page Numbers (Bottom of Page)"/>
        <w:docPartUnique/>
      </w:docPartObj>
    </w:sdtPr>
    <w:sdtEndPr/>
    <w:sdtContent>
      <w:p w14:paraId="5AC58C37" w14:textId="5D1155EC" w:rsidR="000D1251" w:rsidRDefault="00D951D6" w:rsidP="00D951D6">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D79B" w14:textId="77777777" w:rsidR="00DB0657" w:rsidRDefault="00DB0657">
      <w:r>
        <w:separator/>
      </w:r>
    </w:p>
  </w:footnote>
  <w:footnote w:type="continuationSeparator" w:id="0">
    <w:p w14:paraId="7536861C" w14:textId="77777777" w:rsidR="00DB0657" w:rsidRDefault="00DB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A895" w14:textId="77777777" w:rsidR="000D1251" w:rsidRDefault="000D1251">
    <w:pPr>
      <w:tabs>
        <w:tab w:val="left" w:pos="7338"/>
        <w:tab w:val="left" w:pos="9690"/>
      </w:tabs>
      <w:spacing w:line="300" w:lineRule="atLeast"/>
      <w:rPr>
        <w:rFonts w:ascii="宋体" w:hAnsi="宋体"/>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2BAD7"/>
    <w:multiLevelType w:val="singleLevel"/>
    <w:tmpl w:val="F222BAD7"/>
    <w:lvl w:ilvl="0">
      <w:start w:val="1"/>
      <w:numFmt w:val="decimal"/>
      <w:suff w:val="space"/>
      <w:lvlText w:val="%1."/>
      <w:lvlJc w:val="left"/>
    </w:lvl>
  </w:abstractNum>
  <w:abstractNum w:abstractNumId="1" w15:restartNumberingAfterBreak="0">
    <w:nsid w:val="18CA39FF"/>
    <w:multiLevelType w:val="multilevel"/>
    <w:tmpl w:val="18CA39FF"/>
    <w:lvl w:ilvl="0">
      <w:start w:val="1"/>
      <w:numFmt w:val="decimal"/>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258678654">
    <w:abstractNumId w:val="1"/>
  </w:num>
  <w:num w:numId="2" w16cid:durableId="1985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090EE1"/>
    <w:rsid w:val="0001617E"/>
    <w:rsid w:val="00055EA0"/>
    <w:rsid w:val="00061B0C"/>
    <w:rsid w:val="00077F1A"/>
    <w:rsid w:val="00092844"/>
    <w:rsid w:val="000A70EB"/>
    <w:rsid w:val="000B1FA1"/>
    <w:rsid w:val="000B5B9D"/>
    <w:rsid w:val="000D1251"/>
    <w:rsid w:val="000D6164"/>
    <w:rsid w:val="000E0B8D"/>
    <w:rsid w:val="00105A42"/>
    <w:rsid w:val="00135E1B"/>
    <w:rsid w:val="00191F36"/>
    <w:rsid w:val="001A78B5"/>
    <w:rsid w:val="001C5E5E"/>
    <w:rsid w:val="00261E8D"/>
    <w:rsid w:val="002667F4"/>
    <w:rsid w:val="002E5AD5"/>
    <w:rsid w:val="00312140"/>
    <w:rsid w:val="00315D6A"/>
    <w:rsid w:val="003452FB"/>
    <w:rsid w:val="003E375B"/>
    <w:rsid w:val="00415337"/>
    <w:rsid w:val="00416B91"/>
    <w:rsid w:val="00454B56"/>
    <w:rsid w:val="00461269"/>
    <w:rsid w:val="0046589A"/>
    <w:rsid w:val="00473A82"/>
    <w:rsid w:val="004D0FC4"/>
    <w:rsid w:val="004F25FA"/>
    <w:rsid w:val="00523874"/>
    <w:rsid w:val="00541483"/>
    <w:rsid w:val="00555221"/>
    <w:rsid w:val="0057284F"/>
    <w:rsid w:val="005B4A81"/>
    <w:rsid w:val="005E0698"/>
    <w:rsid w:val="005E3EF5"/>
    <w:rsid w:val="005E5C30"/>
    <w:rsid w:val="00623966"/>
    <w:rsid w:val="006745D0"/>
    <w:rsid w:val="006843E4"/>
    <w:rsid w:val="00684B79"/>
    <w:rsid w:val="006919B4"/>
    <w:rsid w:val="00693530"/>
    <w:rsid w:val="006A59E7"/>
    <w:rsid w:val="006D7834"/>
    <w:rsid w:val="0074233B"/>
    <w:rsid w:val="007445AC"/>
    <w:rsid w:val="007775F1"/>
    <w:rsid w:val="0078741A"/>
    <w:rsid w:val="007A6DD0"/>
    <w:rsid w:val="007F0AD8"/>
    <w:rsid w:val="00815D7D"/>
    <w:rsid w:val="008C3630"/>
    <w:rsid w:val="009366E1"/>
    <w:rsid w:val="009A1D26"/>
    <w:rsid w:val="009A6ECB"/>
    <w:rsid w:val="009D46CC"/>
    <w:rsid w:val="00A0157A"/>
    <w:rsid w:val="00A262A0"/>
    <w:rsid w:val="00AC15C9"/>
    <w:rsid w:val="00AE0B9D"/>
    <w:rsid w:val="00B1270A"/>
    <w:rsid w:val="00B2442E"/>
    <w:rsid w:val="00B449D5"/>
    <w:rsid w:val="00B87834"/>
    <w:rsid w:val="00BC56E1"/>
    <w:rsid w:val="00BE18F0"/>
    <w:rsid w:val="00BE619C"/>
    <w:rsid w:val="00C10E0E"/>
    <w:rsid w:val="00C35DED"/>
    <w:rsid w:val="00C44A14"/>
    <w:rsid w:val="00C46C4D"/>
    <w:rsid w:val="00D0240B"/>
    <w:rsid w:val="00D077B5"/>
    <w:rsid w:val="00D24326"/>
    <w:rsid w:val="00D26F00"/>
    <w:rsid w:val="00D63D30"/>
    <w:rsid w:val="00D80A0C"/>
    <w:rsid w:val="00D940D6"/>
    <w:rsid w:val="00D951D6"/>
    <w:rsid w:val="00DA1A38"/>
    <w:rsid w:val="00DA42E4"/>
    <w:rsid w:val="00DA4EBA"/>
    <w:rsid w:val="00DB0657"/>
    <w:rsid w:val="00E2097B"/>
    <w:rsid w:val="00E43495"/>
    <w:rsid w:val="00E72680"/>
    <w:rsid w:val="00EA7AB5"/>
    <w:rsid w:val="00EB7040"/>
    <w:rsid w:val="00EC0399"/>
    <w:rsid w:val="00ED37D9"/>
    <w:rsid w:val="00F037BB"/>
    <w:rsid w:val="00F33217"/>
    <w:rsid w:val="00FA0C28"/>
    <w:rsid w:val="00FA5C9D"/>
    <w:rsid w:val="00FB10CA"/>
    <w:rsid w:val="00FE18E4"/>
    <w:rsid w:val="00FE1B7E"/>
    <w:rsid w:val="02103B99"/>
    <w:rsid w:val="02B522FB"/>
    <w:rsid w:val="02EC32D2"/>
    <w:rsid w:val="04862F6A"/>
    <w:rsid w:val="06980951"/>
    <w:rsid w:val="06AF1CB0"/>
    <w:rsid w:val="07915E1D"/>
    <w:rsid w:val="08037C8F"/>
    <w:rsid w:val="08A96CAA"/>
    <w:rsid w:val="0955334A"/>
    <w:rsid w:val="0A1762BC"/>
    <w:rsid w:val="0AF169C4"/>
    <w:rsid w:val="0B32723F"/>
    <w:rsid w:val="0B411CAC"/>
    <w:rsid w:val="0B4B1EF1"/>
    <w:rsid w:val="0CB776F3"/>
    <w:rsid w:val="0CE66211"/>
    <w:rsid w:val="0D863B2B"/>
    <w:rsid w:val="0E4712D0"/>
    <w:rsid w:val="0ED31078"/>
    <w:rsid w:val="0F443B8D"/>
    <w:rsid w:val="102B5FA8"/>
    <w:rsid w:val="10762200"/>
    <w:rsid w:val="1090766C"/>
    <w:rsid w:val="10A82788"/>
    <w:rsid w:val="10B83C9B"/>
    <w:rsid w:val="115B7DB8"/>
    <w:rsid w:val="128B7093"/>
    <w:rsid w:val="140F72DA"/>
    <w:rsid w:val="144A4887"/>
    <w:rsid w:val="15A25F7D"/>
    <w:rsid w:val="15D00DE4"/>
    <w:rsid w:val="19341B87"/>
    <w:rsid w:val="19B609ED"/>
    <w:rsid w:val="1B0135F6"/>
    <w:rsid w:val="1B1E4218"/>
    <w:rsid w:val="1C327F26"/>
    <w:rsid w:val="1CEF4412"/>
    <w:rsid w:val="1D3546C9"/>
    <w:rsid w:val="1D8D092D"/>
    <w:rsid w:val="1DBA1C04"/>
    <w:rsid w:val="1E6F4596"/>
    <w:rsid w:val="1F1E3CC7"/>
    <w:rsid w:val="1FB70273"/>
    <w:rsid w:val="1FCE78A5"/>
    <w:rsid w:val="217148E5"/>
    <w:rsid w:val="22156311"/>
    <w:rsid w:val="223326A4"/>
    <w:rsid w:val="226504B8"/>
    <w:rsid w:val="24B83B74"/>
    <w:rsid w:val="25100C5F"/>
    <w:rsid w:val="26710832"/>
    <w:rsid w:val="28DA66FC"/>
    <w:rsid w:val="28F5081E"/>
    <w:rsid w:val="294826D7"/>
    <w:rsid w:val="29D361D3"/>
    <w:rsid w:val="2A48734D"/>
    <w:rsid w:val="2CE1511C"/>
    <w:rsid w:val="2DBA5033"/>
    <w:rsid w:val="2EB47008"/>
    <w:rsid w:val="2EFF4634"/>
    <w:rsid w:val="2FD57C4A"/>
    <w:rsid w:val="301B0D04"/>
    <w:rsid w:val="3040358B"/>
    <w:rsid w:val="310D1684"/>
    <w:rsid w:val="31680CD1"/>
    <w:rsid w:val="31D00600"/>
    <w:rsid w:val="33C652F8"/>
    <w:rsid w:val="365279E8"/>
    <w:rsid w:val="36DE4E89"/>
    <w:rsid w:val="3829503D"/>
    <w:rsid w:val="3A717490"/>
    <w:rsid w:val="3A736305"/>
    <w:rsid w:val="3A9820E0"/>
    <w:rsid w:val="3B1A5690"/>
    <w:rsid w:val="3C516B08"/>
    <w:rsid w:val="3C9C1707"/>
    <w:rsid w:val="3D1753CB"/>
    <w:rsid w:val="3E0D73F2"/>
    <w:rsid w:val="3F0B7EF5"/>
    <w:rsid w:val="40994C31"/>
    <w:rsid w:val="41E00B9B"/>
    <w:rsid w:val="42C5465C"/>
    <w:rsid w:val="42CC4D1F"/>
    <w:rsid w:val="43EE7DEF"/>
    <w:rsid w:val="442F5BD8"/>
    <w:rsid w:val="44A610C4"/>
    <w:rsid w:val="44D379FE"/>
    <w:rsid w:val="44E9181B"/>
    <w:rsid w:val="47770CCB"/>
    <w:rsid w:val="47FD464A"/>
    <w:rsid w:val="49090EE1"/>
    <w:rsid w:val="4A69365D"/>
    <w:rsid w:val="4C6058A7"/>
    <w:rsid w:val="4CDE613F"/>
    <w:rsid w:val="508044FA"/>
    <w:rsid w:val="51922484"/>
    <w:rsid w:val="53574757"/>
    <w:rsid w:val="53FC57F7"/>
    <w:rsid w:val="541004B9"/>
    <w:rsid w:val="54894A54"/>
    <w:rsid w:val="557348BB"/>
    <w:rsid w:val="56574AEB"/>
    <w:rsid w:val="568F040F"/>
    <w:rsid w:val="57282530"/>
    <w:rsid w:val="58292845"/>
    <w:rsid w:val="58A47F80"/>
    <w:rsid w:val="58D170DF"/>
    <w:rsid w:val="5A1F6DC7"/>
    <w:rsid w:val="5B144638"/>
    <w:rsid w:val="5BAE7432"/>
    <w:rsid w:val="5CFA54A6"/>
    <w:rsid w:val="5F1A32D7"/>
    <w:rsid w:val="616C6813"/>
    <w:rsid w:val="61BF1655"/>
    <w:rsid w:val="61E3157E"/>
    <w:rsid w:val="620847DA"/>
    <w:rsid w:val="628F1F9D"/>
    <w:rsid w:val="635354BD"/>
    <w:rsid w:val="63E80B2A"/>
    <w:rsid w:val="63FD5611"/>
    <w:rsid w:val="64683C86"/>
    <w:rsid w:val="64D85C9C"/>
    <w:rsid w:val="65021A6C"/>
    <w:rsid w:val="652B0829"/>
    <w:rsid w:val="656A3A69"/>
    <w:rsid w:val="65E30466"/>
    <w:rsid w:val="660F71B4"/>
    <w:rsid w:val="66177071"/>
    <w:rsid w:val="692F2B94"/>
    <w:rsid w:val="699A07C0"/>
    <w:rsid w:val="6B6D22C9"/>
    <w:rsid w:val="6B91367C"/>
    <w:rsid w:val="6BD33B36"/>
    <w:rsid w:val="6BFA7054"/>
    <w:rsid w:val="6C862B5C"/>
    <w:rsid w:val="6D291156"/>
    <w:rsid w:val="6D535020"/>
    <w:rsid w:val="6D6F4360"/>
    <w:rsid w:val="6F283034"/>
    <w:rsid w:val="6F5C2F1F"/>
    <w:rsid w:val="6F9C5C0D"/>
    <w:rsid w:val="70160833"/>
    <w:rsid w:val="72016E9A"/>
    <w:rsid w:val="721D7CED"/>
    <w:rsid w:val="725001BB"/>
    <w:rsid w:val="725701DA"/>
    <w:rsid w:val="72591CE3"/>
    <w:rsid w:val="72B45968"/>
    <w:rsid w:val="72D80468"/>
    <w:rsid w:val="7385705A"/>
    <w:rsid w:val="741555EF"/>
    <w:rsid w:val="746266BE"/>
    <w:rsid w:val="765C4C7B"/>
    <w:rsid w:val="769357A3"/>
    <w:rsid w:val="779E75AB"/>
    <w:rsid w:val="77D13AFB"/>
    <w:rsid w:val="7A0240B5"/>
    <w:rsid w:val="7BAE1E59"/>
    <w:rsid w:val="7BD91844"/>
    <w:rsid w:val="7E0A709C"/>
    <w:rsid w:val="7F87249F"/>
    <w:rsid w:val="7F9A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2EAA"/>
  <w15:docId w15:val="{FF7DE0A7-DE17-418F-8F32-A043AAE0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numPr>
        <w:ilvl w:val="1"/>
        <w:numId w:val="1"/>
      </w:numPr>
      <w:spacing w:before="260" w:after="260" w:line="480" w:lineRule="auto"/>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ind w:left="1155" w:hanging="1155"/>
    </w:pPr>
    <w:rPr>
      <w:sz w:val="24"/>
      <w:szCs w:val="20"/>
    </w:rPr>
  </w:style>
  <w:style w:type="paragraph" w:styleId="a5">
    <w:name w:val="footer"/>
    <w:basedOn w:val="a"/>
    <w:link w:val="a6"/>
    <w:uiPriority w:val="99"/>
    <w:qFormat/>
    <w:pPr>
      <w:tabs>
        <w:tab w:val="center" w:pos="4153"/>
        <w:tab w:val="right" w:pos="8306"/>
      </w:tabs>
      <w:snapToGrid w:val="0"/>
      <w:jc w:val="left"/>
    </w:pPr>
    <w:rPr>
      <w:sz w:val="18"/>
      <w:szCs w:val="20"/>
    </w:rPr>
  </w:style>
  <w:style w:type="paragraph" w:styleId="3">
    <w:name w:val="Body Text Indent 3"/>
    <w:basedOn w:val="a"/>
    <w:qFormat/>
    <w:pPr>
      <w:spacing w:after="120"/>
      <w:ind w:leftChars="200" w:left="420"/>
    </w:pPr>
    <w:rPr>
      <w:sz w:val="16"/>
      <w:szCs w:val="16"/>
    </w:rPr>
  </w:style>
  <w:style w:type="paragraph" w:styleId="a7">
    <w:name w:val="Normal (Web)"/>
    <w:basedOn w:val="a"/>
    <w:qFormat/>
    <w:pPr>
      <w:jc w:val="left"/>
    </w:pPr>
    <w:rPr>
      <w:kern w:val="0"/>
      <w:sz w:val="24"/>
    </w:rPr>
  </w:style>
  <w:style w:type="character" w:styleId="a8">
    <w:name w:val="page number"/>
    <w:basedOn w:val="a0"/>
    <w:qFormat/>
  </w:style>
  <w:style w:type="character" w:styleId="a9">
    <w:name w:val="FollowedHyperlink"/>
    <w:basedOn w:val="a0"/>
    <w:qFormat/>
    <w:rPr>
      <w:color w:val="666666"/>
      <w:u w:val="none"/>
    </w:rPr>
  </w:style>
  <w:style w:type="character" w:styleId="aa">
    <w:name w:val="Emphasis"/>
    <w:basedOn w:val="a0"/>
    <w:qFormat/>
    <w:rPr>
      <w:rFonts w:ascii="宋体" w:eastAsia="宋体" w:hAnsi="宋体" w:cs="宋体" w:hint="eastAsia"/>
    </w:rPr>
  </w:style>
  <w:style w:type="character" w:styleId="ab">
    <w:name w:val="Hyperlink"/>
    <w:basedOn w:val="a0"/>
    <w:qFormat/>
    <w:rPr>
      <w:color w:val="666666"/>
      <w:u w:val="none"/>
    </w:rPr>
  </w:style>
  <w:style w:type="paragraph" w:customStyle="1" w:styleId="ac">
    <w:name w:val="附注－正文"/>
    <w:basedOn w:val="a4"/>
    <w:qFormat/>
    <w:pPr>
      <w:adjustRightInd w:val="0"/>
      <w:snapToGrid w:val="0"/>
      <w:spacing w:afterLines="50" w:after="50" w:line="360" w:lineRule="auto"/>
      <w:ind w:left="0" w:firstLineChars="200" w:firstLine="200"/>
    </w:pPr>
    <w:rPr>
      <w:sz w:val="21"/>
    </w:rPr>
  </w:style>
  <w:style w:type="paragraph" w:customStyle="1" w:styleId="1">
    <w:name w:val="样式1"/>
    <w:basedOn w:val="a"/>
    <w:qFormat/>
    <w:pPr>
      <w:widowControl/>
      <w:spacing w:beforeLines="100" w:line="320" w:lineRule="exact"/>
      <w:jc w:val="left"/>
    </w:pPr>
    <w:rPr>
      <w:snapToGrid w:val="0"/>
      <w:kern w:val="0"/>
      <w:sz w:val="22"/>
      <w:szCs w:val="20"/>
      <w:lang w:val="en-GB" w:eastAsia="en-US"/>
    </w:rPr>
  </w:style>
  <w:style w:type="paragraph" w:customStyle="1" w:styleId="30">
    <w:name w:val="样式3"/>
    <w:basedOn w:val="a"/>
    <w:qFormat/>
    <w:pPr>
      <w:widowControl/>
      <w:spacing w:line="360" w:lineRule="auto"/>
      <w:ind w:firstLineChars="208" w:firstLine="437"/>
    </w:pPr>
    <w:rPr>
      <w:bCs/>
      <w:kern w:val="0"/>
      <w:szCs w:val="20"/>
    </w:rPr>
  </w:style>
  <w:style w:type="character" w:customStyle="1" w:styleId="s12">
    <w:name w:val="s12"/>
    <w:basedOn w:val="a0"/>
    <w:qFormat/>
    <w:rPr>
      <w:color w:val="FFFFFF"/>
      <w:shd w:val="clear" w:color="auto" w:fill="06C1AE"/>
    </w:rPr>
  </w:style>
  <w:style w:type="character" w:customStyle="1" w:styleId="first-child">
    <w:name w:val="first-child"/>
    <w:basedOn w:val="a0"/>
    <w:qFormat/>
  </w:style>
  <w:style w:type="character" w:customStyle="1" w:styleId="first-child1">
    <w:name w:val="first-child1"/>
    <w:basedOn w:val="a0"/>
    <w:qFormat/>
  </w:style>
  <w:style w:type="character" w:customStyle="1" w:styleId="first-child2">
    <w:name w:val="first-child2"/>
    <w:basedOn w:val="a0"/>
    <w:qFormat/>
  </w:style>
  <w:style w:type="character" w:customStyle="1" w:styleId="after2">
    <w:name w:val="after2"/>
    <w:basedOn w:val="a0"/>
    <w:qFormat/>
  </w:style>
  <w:style w:type="character" w:customStyle="1" w:styleId="after3">
    <w:name w:val="after3"/>
    <w:basedOn w:val="a0"/>
    <w:qFormat/>
    <w:rPr>
      <w:shd w:val="clear" w:color="auto" w:fill="FFFFFF"/>
    </w:rPr>
  </w:style>
  <w:style w:type="character" w:customStyle="1" w:styleId="after4">
    <w:name w:val="after4"/>
    <w:basedOn w:val="a0"/>
    <w:qFormat/>
    <w:rPr>
      <w:shd w:val="clear" w:color="auto" w:fill="448BDD"/>
    </w:rPr>
  </w:style>
  <w:style w:type="character" w:customStyle="1" w:styleId="before">
    <w:name w:val="before"/>
    <w:basedOn w:val="a0"/>
    <w:qFormat/>
    <w:rPr>
      <w:shd w:val="clear" w:color="auto" w:fill="FFFFFF"/>
    </w:rPr>
  </w:style>
  <w:style w:type="character" w:customStyle="1" w:styleId="s13">
    <w:name w:val="s13"/>
    <w:basedOn w:val="a0"/>
    <w:qFormat/>
    <w:rPr>
      <w:color w:val="FFFFFF"/>
      <w:shd w:val="clear" w:color="auto" w:fill="ABABAB"/>
    </w:rPr>
  </w:style>
  <w:style w:type="character" w:customStyle="1" w:styleId="on12">
    <w:name w:val="on12"/>
    <w:basedOn w:val="a0"/>
    <w:qFormat/>
    <w:rPr>
      <w:color w:val="5D83CA"/>
    </w:rPr>
  </w:style>
  <w:style w:type="paragraph" w:styleId="ad">
    <w:name w:val="header"/>
    <w:basedOn w:val="a"/>
    <w:link w:val="ae"/>
    <w:rsid w:val="00473A82"/>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473A82"/>
    <w:rPr>
      <w:kern w:val="2"/>
      <w:sz w:val="18"/>
      <w:szCs w:val="18"/>
    </w:rPr>
  </w:style>
  <w:style w:type="character" w:customStyle="1" w:styleId="a6">
    <w:name w:val="页脚 字符"/>
    <w:basedOn w:val="a0"/>
    <w:link w:val="a5"/>
    <w:uiPriority w:val="99"/>
    <w:rsid w:val="00D951D6"/>
    <w:rPr>
      <w:kern w:val="2"/>
      <w:sz w:val="18"/>
    </w:rPr>
  </w:style>
  <w:style w:type="paragraph" w:styleId="af">
    <w:name w:val="List Paragraph"/>
    <w:basedOn w:val="a"/>
    <w:uiPriority w:val="99"/>
    <w:rsid w:val="000E0B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543">
      <w:bodyDiv w:val="1"/>
      <w:marLeft w:val="0"/>
      <w:marRight w:val="0"/>
      <w:marTop w:val="0"/>
      <w:marBottom w:val="0"/>
      <w:divBdr>
        <w:top w:val="none" w:sz="0" w:space="0" w:color="auto"/>
        <w:left w:val="none" w:sz="0" w:space="0" w:color="auto"/>
        <w:bottom w:val="none" w:sz="0" w:space="0" w:color="auto"/>
        <w:right w:val="none" w:sz="0" w:space="0" w:color="auto"/>
      </w:divBdr>
    </w:div>
    <w:div w:id="28721047">
      <w:bodyDiv w:val="1"/>
      <w:marLeft w:val="0"/>
      <w:marRight w:val="0"/>
      <w:marTop w:val="0"/>
      <w:marBottom w:val="0"/>
      <w:divBdr>
        <w:top w:val="none" w:sz="0" w:space="0" w:color="auto"/>
        <w:left w:val="none" w:sz="0" w:space="0" w:color="auto"/>
        <w:bottom w:val="none" w:sz="0" w:space="0" w:color="auto"/>
        <w:right w:val="none" w:sz="0" w:space="0" w:color="auto"/>
      </w:divBdr>
    </w:div>
    <w:div w:id="33701791">
      <w:bodyDiv w:val="1"/>
      <w:marLeft w:val="0"/>
      <w:marRight w:val="0"/>
      <w:marTop w:val="0"/>
      <w:marBottom w:val="0"/>
      <w:divBdr>
        <w:top w:val="none" w:sz="0" w:space="0" w:color="auto"/>
        <w:left w:val="none" w:sz="0" w:space="0" w:color="auto"/>
        <w:bottom w:val="none" w:sz="0" w:space="0" w:color="auto"/>
        <w:right w:val="none" w:sz="0" w:space="0" w:color="auto"/>
      </w:divBdr>
    </w:div>
    <w:div w:id="34503949">
      <w:bodyDiv w:val="1"/>
      <w:marLeft w:val="0"/>
      <w:marRight w:val="0"/>
      <w:marTop w:val="0"/>
      <w:marBottom w:val="0"/>
      <w:divBdr>
        <w:top w:val="none" w:sz="0" w:space="0" w:color="auto"/>
        <w:left w:val="none" w:sz="0" w:space="0" w:color="auto"/>
        <w:bottom w:val="none" w:sz="0" w:space="0" w:color="auto"/>
        <w:right w:val="none" w:sz="0" w:space="0" w:color="auto"/>
      </w:divBdr>
    </w:div>
    <w:div w:id="35474968">
      <w:bodyDiv w:val="1"/>
      <w:marLeft w:val="0"/>
      <w:marRight w:val="0"/>
      <w:marTop w:val="0"/>
      <w:marBottom w:val="0"/>
      <w:divBdr>
        <w:top w:val="none" w:sz="0" w:space="0" w:color="auto"/>
        <w:left w:val="none" w:sz="0" w:space="0" w:color="auto"/>
        <w:bottom w:val="none" w:sz="0" w:space="0" w:color="auto"/>
        <w:right w:val="none" w:sz="0" w:space="0" w:color="auto"/>
      </w:divBdr>
    </w:div>
    <w:div w:id="54083343">
      <w:bodyDiv w:val="1"/>
      <w:marLeft w:val="0"/>
      <w:marRight w:val="0"/>
      <w:marTop w:val="0"/>
      <w:marBottom w:val="0"/>
      <w:divBdr>
        <w:top w:val="none" w:sz="0" w:space="0" w:color="auto"/>
        <w:left w:val="none" w:sz="0" w:space="0" w:color="auto"/>
        <w:bottom w:val="none" w:sz="0" w:space="0" w:color="auto"/>
        <w:right w:val="none" w:sz="0" w:space="0" w:color="auto"/>
      </w:divBdr>
    </w:div>
    <w:div w:id="102190834">
      <w:bodyDiv w:val="1"/>
      <w:marLeft w:val="0"/>
      <w:marRight w:val="0"/>
      <w:marTop w:val="0"/>
      <w:marBottom w:val="0"/>
      <w:divBdr>
        <w:top w:val="none" w:sz="0" w:space="0" w:color="auto"/>
        <w:left w:val="none" w:sz="0" w:space="0" w:color="auto"/>
        <w:bottom w:val="none" w:sz="0" w:space="0" w:color="auto"/>
        <w:right w:val="none" w:sz="0" w:space="0" w:color="auto"/>
      </w:divBdr>
    </w:div>
    <w:div w:id="118644918">
      <w:bodyDiv w:val="1"/>
      <w:marLeft w:val="0"/>
      <w:marRight w:val="0"/>
      <w:marTop w:val="0"/>
      <w:marBottom w:val="0"/>
      <w:divBdr>
        <w:top w:val="none" w:sz="0" w:space="0" w:color="auto"/>
        <w:left w:val="none" w:sz="0" w:space="0" w:color="auto"/>
        <w:bottom w:val="none" w:sz="0" w:space="0" w:color="auto"/>
        <w:right w:val="none" w:sz="0" w:space="0" w:color="auto"/>
      </w:divBdr>
    </w:div>
    <w:div w:id="138809001">
      <w:bodyDiv w:val="1"/>
      <w:marLeft w:val="0"/>
      <w:marRight w:val="0"/>
      <w:marTop w:val="0"/>
      <w:marBottom w:val="0"/>
      <w:divBdr>
        <w:top w:val="none" w:sz="0" w:space="0" w:color="auto"/>
        <w:left w:val="none" w:sz="0" w:space="0" w:color="auto"/>
        <w:bottom w:val="none" w:sz="0" w:space="0" w:color="auto"/>
        <w:right w:val="none" w:sz="0" w:space="0" w:color="auto"/>
      </w:divBdr>
    </w:div>
    <w:div w:id="177235795">
      <w:bodyDiv w:val="1"/>
      <w:marLeft w:val="0"/>
      <w:marRight w:val="0"/>
      <w:marTop w:val="0"/>
      <w:marBottom w:val="0"/>
      <w:divBdr>
        <w:top w:val="none" w:sz="0" w:space="0" w:color="auto"/>
        <w:left w:val="none" w:sz="0" w:space="0" w:color="auto"/>
        <w:bottom w:val="none" w:sz="0" w:space="0" w:color="auto"/>
        <w:right w:val="none" w:sz="0" w:space="0" w:color="auto"/>
      </w:divBdr>
    </w:div>
    <w:div w:id="241183989">
      <w:bodyDiv w:val="1"/>
      <w:marLeft w:val="0"/>
      <w:marRight w:val="0"/>
      <w:marTop w:val="0"/>
      <w:marBottom w:val="0"/>
      <w:divBdr>
        <w:top w:val="none" w:sz="0" w:space="0" w:color="auto"/>
        <w:left w:val="none" w:sz="0" w:space="0" w:color="auto"/>
        <w:bottom w:val="none" w:sz="0" w:space="0" w:color="auto"/>
        <w:right w:val="none" w:sz="0" w:space="0" w:color="auto"/>
      </w:divBdr>
    </w:div>
    <w:div w:id="244534963">
      <w:bodyDiv w:val="1"/>
      <w:marLeft w:val="0"/>
      <w:marRight w:val="0"/>
      <w:marTop w:val="0"/>
      <w:marBottom w:val="0"/>
      <w:divBdr>
        <w:top w:val="none" w:sz="0" w:space="0" w:color="auto"/>
        <w:left w:val="none" w:sz="0" w:space="0" w:color="auto"/>
        <w:bottom w:val="none" w:sz="0" w:space="0" w:color="auto"/>
        <w:right w:val="none" w:sz="0" w:space="0" w:color="auto"/>
      </w:divBdr>
    </w:div>
    <w:div w:id="245112088">
      <w:bodyDiv w:val="1"/>
      <w:marLeft w:val="0"/>
      <w:marRight w:val="0"/>
      <w:marTop w:val="0"/>
      <w:marBottom w:val="0"/>
      <w:divBdr>
        <w:top w:val="none" w:sz="0" w:space="0" w:color="auto"/>
        <w:left w:val="none" w:sz="0" w:space="0" w:color="auto"/>
        <w:bottom w:val="none" w:sz="0" w:space="0" w:color="auto"/>
        <w:right w:val="none" w:sz="0" w:space="0" w:color="auto"/>
      </w:divBdr>
    </w:div>
    <w:div w:id="252248953">
      <w:bodyDiv w:val="1"/>
      <w:marLeft w:val="0"/>
      <w:marRight w:val="0"/>
      <w:marTop w:val="0"/>
      <w:marBottom w:val="0"/>
      <w:divBdr>
        <w:top w:val="none" w:sz="0" w:space="0" w:color="auto"/>
        <w:left w:val="none" w:sz="0" w:space="0" w:color="auto"/>
        <w:bottom w:val="none" w:sz="0" w:space="0" w:color="auto"/>
        <w:right w:val="none" w:sz="0" w:space="0" w:color="auto"/>
      </w:divBdr>
    </w:div>
    <w:div w:id="257565408">
      <w:bodyDiv w:val="1"/>
      <w:marLeft w:val="0"/>
      <w:marRight w:val="0"/>
      <w:marTop w:val="0"/>
      <w:marBottom w:val="0"/>
      <w:divBdr>
        <w:top w:val="none" w:sz="0" w:space="0" w:color="auto"/>
        <w:left w:val="none" w:sz="0" w:space="0" w:color="auto"/>
        <w:bottom w:val="none" w:sz="0" w:space="0" w:color="auto"/>
        <w:right w:val="none" w:sz="0" w:space="0" w:color="auto"/>
      </w:divBdr>
    </w:div>
    <w:div w:id="275143012">
      <w:bodyDiv w:val="1"/>
      <w:marLeft w:val="0"/>
      <w:marRight w:val="0"/>
      <w:marTop w:val="0"/>
      <w:marBottom w:val="0"/>
      <w:divBdr>
        <w:top w:val="none" w:sz="0" w:space="0" w:color="auto"/>
        <w:left w:val="none" w:sz="0" w:space="0" w:color="auto"/>
        <w:bottom w:val="none" w:sz="0" w:space="0" w:color="auto"/>
        <w:right w:val="none" w:sz="0" w:space="0" w:color="auto"/>
      </w:divBdr>
    </w:div>
    <w:div w:id="278950583">
      <w:bodyDiv w:val="1"/>
      <w:marLeft w:val="0"/>
      <w:marRight w:val="0"/>
      <w:marTop w:val="0"/>
      <w:marBottom w:val="0"/>
      <w:divBdr>
        <w:top w:val="none" w:sz="0" w:space="0" w:color="auto"/>
        <w:left w:val="none" w:sz="0" w:space="0" w:color="auto"/>
        <w:bottom w:val="none" w:sz="0" w:space="0" w:color="auto"/>
        <w:right w:val="none" w:sz="0" w:space="0" w:color="auto"/>
      </w:divBdr>
    </w:div>
    <w:div w:id="284846827">
      <w:bodyDiv w:val="1"/>
      <w:marLeft w:val="0"/>
      <w:marRight w:val="0"/>
      <w:marTop w:val="0"/>
      <w:marBottom w:val="0"/>
      <w:divBdr>
        <w:top w:val="none" w:sz="0" w:space="0" w:color="auto"/>
        <w:left w:val="none" w:sz="0" w:space="0" w:color="auto"/>
        <w:bottom w:val="none" w:sz="0" w:space="0" w:color="auto"/>
        <w:right w:val="none" w:sz="0" w:space="0" w:color="auto"/>
      </w:divBdr>
    </w:div>
    <w:div w:id="287204307">
      <w:bodyDiv w:val="1"/>
      <w:marLeft w:val="0"/>
      <w:marRight w:val="0"/>
      <w:marTop w:val="0"/>
      <w:marBottom w:val="0"/>
      <w:divBdr>
        <w:top w:val="none" w:sz="0" w:space="0" w:color="auto"/>
        <w:left w:val="none" w:sz="0" w:space="0" w:color="auto"/>
        <w:bottom w:val="none" w:sz="0" w:space="0" w:color="auto"/>
        <w:right w:val="none" w:sz="0" w:space="0" w:color="auto"/>
      </w:divBdr>
    </w:div>
    <w:div w:id="303196523">
      <w:bodyDiv w:val="1"/>
      <w:marLeft w:val="0"/>
      <w:marRight w:val="0"/>
      <w:marTop w:val="0"/>
      <w:marBottom w:val="0"/>
      <w:divBdr>
        <w:top w:val="none" w:sz="0" w:space="0" w:color="auto"/>
        <w:left w:val="none" w:sz="0" w:space="0" w:color="auto"/>
        <w:bottom w:val="none" w:sz="0" w:space="0" w:color="auto"/>
        <w:right w:val="none" w:sz="0" w:space="0" w:color="auto"/>
      </w:divBdr>
    </w:div>
    <w:div w:id="311561331">
      <w:bodyDiv w:val="1"/>
      <w:marLeft w:val="0"/>
      <w:marRight w:val="0"/>
      <w:marTop w:val="0"/>
      <w:marBottom w:val="0"/>
      <w:divBdr>
        <w:top w:val="none" w:sz="0" w:space="0" w:color="auto"/>
        <w:left w:val="none" w:sz="0" w:space="0" w:color="auto"/>
        <w:bottom w:val="none" w:sz="0" w:space="0" w:color="auto"/>
        <w:right w:val="none" w:sz="0" w:space="0" w:color="auto"/>
      </w:divBdr>
    </w:div>
    <w:div w:id="315259146">
      <w:bodyDiv w:val="1"/>
      <w:marLeft w:val="0"/>
      <w:marRight w:val="0"/>
      <w:marTop w:val="0"/>
      <w:marBottom w:val="0"/>
      <w:divBdr>
        <w:top w:val="none" w:sz="0" w:space="0" w:color="auto"/>
        <w:left w:val="none" w:sz="0" w:space="0" w:color="auto"/>
        <w:bottom w:val="none" w:sz="0" w:space="0" w:color="auto"/>
        <w:right w:val="none" w:sz="0" w:space="0" w:color="auto"/>
      </w:divBdr>
    </w:div>
    <w:div w:id="351230788">
      <w:bodyDiv w:val="1"/>
      <w:marLeft w:val="0"/>
      <w:marRight w:val="0"/>
      <w:marTop w:val="0"/>
      <w:marBottom w:val="0"/>
      <w:divBdr>
        <w:top w:val="none" w:sz="0" w:space="0" w:color="auto"/>
        <w:left w:val="none" w:sz="0" w:space="0" w:color="auto"/>
        <w:bottom w:val="none" w:sz="0" w:space="0" w:color="auto"/>
        <w:right w:val="none" w:sz="0" w:space="0" w:color="auto"/>
      </w:divBdr>
    </w:div>
    <w:div w:id="448819646">
      <w:bodyDiv w:val="1"/>
      <w:marLeft w:val="0"/>
      <w:marRight w:val="0"/>
      <w:marTop w:val="0"/>
      <w:marBottom w:val="0"/>
      <w:divBdr>
        <w:top w:val="none" w:sz="0" w:space="0" w:color="auto"/>
        <w:left w:val="none" w:sz="0" w:space="0" w:color="auto"/>
        <w:bottom w:val="none" w:sz="0" w:space="0" w:color="auto"/>
        <w:right w:val="none" w:sz="0" w:space="0" w:color="auto"/>
      </w:divBdr>
    </w:div>
    <w:div w:id="468207448">
      <w:bodyDiv w:val="1"/>
      <w:marLeft w:val="0"/>
      <w:marRight w:val="0"/>
      <w:marTop w:val="0"/>
      <w:marBottom w:val="0"/>
      <w:divBdr>
        <w:top w:val="none" w:sz="0" w:space="0" w:color="auto"/>
        <w:left w:val="none" w:sz="0" w:space="0" w:color="auto"/>
        <w:bottom w:val="none" w:sz="0" w:space="0" w:color="auto"/>
        <w:right w:val="none" w:sz="0" w:space="0" w:color="auto"/>
      </w:divBdr>
    </w:div>
    <w:div w:id="474492750">
      <w:bodyDiv w:val="1"/>
      <w:marLeft w:val="0"/>
      <w:marRight w:val="0"/>
      <w:marTop w:val="0"/>
      <w:marBottom w:val="0"/>
      <w:divBdr>
        <w:top w:val="none" w:sz="0" w:space="0" w:color="auto"/>
        <w:left w:val="none" w:sz="0" w:space="0" w:color="auto"/>
        <w:bottom w:val="none" w:sz="0" w:space="0" w:color="auto"/>
        <w:right w:val="none" w:sz="0" w:space="0" w:color="auto"/>
      </w:divBdr>
    </w:div>
    <w:div w:id="477188075">
      <w:bodyDiv w:val="1"/>
      <w:marLeft w:val="0"/>
      <w:marRight w:val="0"/>
      <w:marTop w:val="0"/>
      <w:marBottom w:val="0"/>
      <w:divBdr>
        <w:top w:val="none" w:sz="0" w:space="0" w:color="auto"/>
        <w:left w:val="none" w:sz="0" w:space="0" w:color="auto"/>
        <w:bottom w:val="none" w:sz="0" w:space="0" w:color="auto"/>
        <w:right w:val="none" w:sz="0" w:space="0" w:color="auto"/>
      </w:divBdr>
    </w:div>
    <w:div w:id="523247119">
      <w:bodyDiv w:val="1"/>
      <w:marLeft w:val="0"/>
      <w:marRight w:val="0"/>
      <w:marTop w:val="0"/>
      <w:marBottom w:val="0"/>
      <w:divBdr>
        <w:top w:val="none" w:sz="0" w:space="0" w:color="auto"/>
        <w:left w:val="none" w:sz="0" w:space="0" w:color="auto"/>
        <w:bottom w:val="none" w:sz="0" w:space="0" w:color="auto"/>
        <w:right w:val="none" w:sz="0" w:space="0" w:color="auto"/>
      </w:divBdr>
    </w:div>
    <w:div w:id="532041671">
      <w:bodyDiv w:val="1"/>
      <w:marLeft w:val="0"/>
      <w:marRight w:val="0"/>
      <w:marTop w:val="0"/>
      <w:marBottom w:val="0"/>
      <w:divBdr>
        <w:top w:val="none" w:sz="0" w:space="0" w:color="auto"/>
        <w:left w:val="none" w:sz="0" w:space="0" w:color="auto"/>
        <w:bottom w:val="none" w:sz="0" w:space="0" w:color="auto"/>
        <w:right w:val="none" w:sz="0" w:space="0" w:color="auto"/>
      </w:divBdr>
    </w:div>
    <w:div w:id="607271341">
      <w:bodyDiv w:val="1"/>
      <w:marLeft w:val="0"/>
      <w:marRight w:val="0"/>
      <w:marTop w:val="0"/>
      <w:marBottom w:val="0"/>
      <w:divBdr>
        <w:top w:val="none" w:sz="0" w:space="0" w:color="auto"/>
        <w:left w:val="none" w:sz="0" w:space="0" w:color="auto"/>
        <w:bottom w:val="none" w:sz="0" w:space="0" w:color="auto"/>
        <w:right w:val="none" w:sz="0" w:space="0" w:color="auto"/>
      </w:divBdr>
    </w:div>
    <w:div w:id="628245158">
      <w:bodyDiv w:val="1"/>
      <w:marLeft w:val="0"/>
      <w:marRight w:val="0"/>
      <w:marTop w:val="0"/>
      <w:marBottom w:val="0"/>
      <w:divBdr>
        <w:top w:val="none" w:sz="0" w:space="0" w:color="auto"/>
        <w:left w:val="none" w:sz="0" w:space="0" w:color="auto"/>
        <w:bottom w:val="none" w:sz="0" w:space="0" w:color="auto"/>
        <w:right w:val="none" w:sz="0" w:space="0" w:color="auto"/>
      </w:divBdr>
    </w:div>
    <w:div w:id="636104295">
      <w:bodyDiv w:val="1"/>
      <w:marLeft w:val="0"/>
      <w:marRight w:val="0"/>
      <w:marTop w:val="0"/>
      <w:marBottom w:val="0"/>
      <w:divBdr>
        <w:top w:val="none" w:sz="0" w:space="0" w:color="auto"/>
        <w:left w:val="none" w:sz="0" w:space="0" w:color="auto"/>
        <w:bottom w:val="none" w:sz="0" w:space="0" w:color="auto"/>
        <w:right w:val="none" w:sz="0" w:space="0" w:color="auto"/>
      </w:divBdr>
    </w:div>
    <w:div w:id="651372282">
      <w:bodyDiv w:val="1"/>
      <w:marLeft w:val="0"/>
      <w:marRight w:val="0"/>
      <w:marTop w:val="0"/>
      <w:marBottom w:val="0"/>
      <w:divBdr>
        <w:top w:val="none" w:sz="0" w:space="0" w:color="auto"/>
        <w:left w:val="none" w:sz="0" w:space="0" w:color="auto"/>
        <w:bottom w:val="none" w:sz="0" w:space="0" w:color="auto"/>
        <w:right w:val="none" w:sz="0" w:space="0" w:color="auto"/>
      </w:divBdr>
    </w:div>
    <w:div w:id="675963556">
      <w:bodyDiv w:val="1"/>
      <w:marLeft w:val="0"/>
      <w:marRight w:val="0"/>
      <w:marTop w:val="0"/>
      <w:marBottom w:val="0"/>
      <w:divBdr>
        <w:top w:val="none" w:sz="0" w:space="0" w:color="auto"/>
        <w:left w:val="none" w:sz="0" w:space="0" w:color="auto"/>
        <w:bottom w:val="none" w:sz="0" w:space="0" w:color="auto"/>
        <w:right w:val="none" w:sz="0" w:space="0" w:color="auto"/>
      </w:divBdr>
    </w:div>
    <w:div w:id="720517449">
      <w:bodyDiv w:val="1"/>
      <w:marLeft w:val="0"/>
      <w:marRight w:val="0"/>
      <w:marTop w:val="0"/>
      <w:marBottom w:val="0"/>
      <w:divBdr>
        <w:top w:val="none" w:sz="0" w:space="0" w:color="auto"/>
        <w:left w:val="none" w:sz="0" w:space="0" w:color="auto"/>
        <w:bottom w:val="none" w:sz="0" w:space="0" w:color="auto"/>
        <w:right w:val="none" w:sz="0" w:space="0" w:color="auto"/>
      </w:divBdr>
    </w:div>
    <w:div w:id="743187931">
      <w:bodyDiv w:val="1"/>
      <w:marLeft w:val="0"/>
      <w:marRight w:val="0"/>
      <w:marTop w:val="0"/>
      <w:marBottom w:val="0"/>
      <w:divBdr>
        <w:top w:val="none" w:sz="0" w:space="0" w:color="auto"/>
        <w:left w:val="none" w:sz="0" w:space="0" w:color="auto"/>
        <w:bottom w:val="none" w:sz="0" w:space="0" w:color="auto"/>
        <w:right w:val="none" w:sz="0" w:space="0" w:color="auto"/>
      </w:divBdr>
    </w:div>
    <w:div w:id="767311061">
      <w:bodyDiv w:val="1"/>
      <w:marLeft w:val="0"/>
      <w:marRight w:val="0"/>
      <w:marTop w:val="0"/>
      <w:marBottom w:val="0"/>
      <w:divBdr>
        <w:top w:val="none" w:sz="0" w:space="0" w:color="auto"/>
        <w:left w:val="none" w:sz="0" w:space="0" w:color="auto"/>
        <w:bottom w:val="none" w:sz="0" w:space="0" w:color="auto"/>
        <w:right w:val="none" w:sz="0" w:space="0" w:color="auto"/>
      </w:divBdr>
    </w:div>
    <w:div w:id="769276925">
      <w:bodyDiv w:val="1"/>
      <w:marLeft w:val="0"/>
      <w:marRight w:val="0"/>
      <w:marTop w:val="0"/>
      <w:marBottom w:val="0"/>
      <w:divBdr>
        <w:top w:val="none" w:sz="0" w:space="0" w:color="auto"/>
        <w:left w:val="none" w:sz="0" w:space="0" w:color="auto"/>
        <w:bottom w:val="none" w:sz="0" w:space="0" w:color="auto"/>
        <w:right w:val="none" w:sz="0" w:space="0" w:color="auto"/>
      </w:divBdr>
    </w:div>
    <w:div w:id="799807509">
      <w:bodyDiv w:val="1"/>
      <w:marLeft w:val="0"/>
      <w:marRight w:val="0"/>
      <w:marTop w:val="0"/>
      <w:marBottom w:val="0"/>
      <w:divBdr>
        <w:top w:val="none" w:sz="0" w:space="0" w:color="auto"/>
        <w:left w:val="none" w:sz="0" w:space="0" w:color="auto"/>
        <w:bottom w:val="none" w:sz="0" w:space="0" w:color="auto"/>
        <w:right w:val="none" w:sz="0" w:space="0" w:color="auto"/>
      </w:divBdr>
    </w:div>
    <w:div w:id="814250764">
      <w:bodyDiv w:val="1"/>
      <w:marLeft w:val="0"/>
      <w:marRight w:val="0"/>
      <w:marTop w:val="0"/>
      <w:marBottom w:val="0"/>
      <w:divBdr>
        <w:top w:val="none" w:sz="0" w:space="0" w:color="auto"/>
        <w:left w:val="none" w:sz="0" w:space="0" w:color="auto"/>
        <w:bottom w:val="none" w:sz="0" w:space="0" w:color="auto"/>
        <w:right w:val="none" w:sz="0" w:space="0" w:color="auto"/>
      </w:divBdr>
    </w:div>
    <w:div w:id="829713555">
      <w:bodyDiv w:val="1"/>
      <w:marLeft w:val="0"/>
      <w:marRight w:val="0"/>
      <w:marTop w:val="0"/>
      <w:marBottom w:val="0"/>
      <w:divBdr>
        <w:top w:val="none" w:sz="0" w:space="0" w:color="auto"/>
        <w:left w:val="none" w:sz="0" w:space="0" w:color="auto"/>
        <w:bottom w:val="none" w:sz="0" w:space="0" w:color="auto"/>
        <w:right w:val="none" w:sz="0" w:space="0" w:color="auto"/>
      </w:divBdr>
    </w:div>
    <w:div w:id="832528176">
      <w:bodyDiv w:val="1"/>
      <w:marLeft w:val="0"/>
      <w:marRight w:val="0"/>
      <w:marTop w:val="0"/>
      <w:marBottom w:val="0"/>
      <w:divBdr>
        <w:top w:val="none" w:sz="0" w:space="0" w:color="auto"/>
        <w:left w:val="none" w:sz="0" w:space="0" w:color="auto"/>
        <w:bottom w:val="none" w:sz="0" w:space="0" w:color="auto"/>
        <w:right w:val="none" w:sz="0" w:space="0" w:color="auto"/>
      </w:divBdr>
    </w:div>
    <w:div w:id="853225796">
      <w:bodyDiv w:val="1"/>
      <w:marLeft w:val="0"/>
      <w:marRight w:val="0"/>
      <w:marTop w:val="0"/>
      <w:marBottom w:val="0"/>
      <w:divBdr>
        <w:top w:val="none" w:sz="0" w:space="0" w:color="auto"/>
        <w:left w:val="none" w:sz="0" w:space="0" w:color="auto"/>
        <w:bottom w:val="none" w:sz="0" w:space="0" w:color="auto"/>
        <w:right w:val="none" w:sz="0" w:space="0" w:color="auto"/>
      </w:divBdr>
    </w:div>
    <w:div w:id="890461902">
      <w:bodyDiv w:val="1"/>
      <w:marLeft w:val="0"/>
      <w:marRight w:val="0"/>
      <w:marTop w:val="0"/>
      <w:marBottom w:val="0"/>
      <w:divBdr>
        <w:top w:val="none" w:sz="0" w:space="0" w:color="auto"/>
        <w:left w:val="none" w:sz="0" w:space="0" w:color="auto"/>
        <w:bottom w:val="none" w:sz="0" w:space="0" w:color="auto"/>
        <w:right w:val="none" w:sz="0" w:space="0" w:color="auto"/>
      </w:divBdr>
    </w:div>
    <w:div w:id="911811389">
      <w:bodyDiv w:val="1"/>
      <w:marLeft w:val="0"/>
      <w:marRight w:val="0"/>
      <w:marTop w:val="0"/>
      <w:marBottom w:val="0"/>
      <w:divBdr>
        <w:top w:val="none" w:sz="0" w:space="0" w:color="auto"/>
        <w:left w:val="none" w:sz="0" w:space="0" w:color="auto"/>
        <w:bottom w:val="none" w:sz="0" w:space="0" w:color="auto"/>
        <w:right w:val="none" w:sz="0" w:space="0" w:color="auto"/>
      </w:divBdr>
    </w:div>
    <w:div w:id="962231755">
      <w:bodyDiv w:val="1"/>
      <w:marLeft w:val="0"/>
      <w:marRight w:val="0"/>
      <w:marTop w:val="0"/>
      <w:marBottom w:val="0"/>
      <w:divBdr>
        <w:top w:val="none" w:sz="0" w:space="0" w:color="auto"/>
        <w:left w:val="none" w:sz="0" w:space="0" w:color="auto"/>
        <w:bottom w:val="none" w:sz="0" w:space="0" w:color="auto"/>
        <w:right w:val="none" w:sz="0" w:space="0" w:color="auto"/>
      </w:divBdr>
    </w:div>
    <w:div w:id="1063984016">
      <w:bodyDiv w:val="1"/>
      <w:marLeft w:val="0"/>
      <w:marRight w:val="0"/>
      <w:marTop w:val="0"/>
      <w:marBottom w:val="0"/>
      <w:divBdr>
        <w:top w:val="none" w:sz="0" w:space="0" w:color="auto"/>
        <w:left w:val="none" w:sz="0" w:space="0" w:color="auto"/>
        <w:bottom w:val="none" w:sz="0" w:space="0" w:color="auto"/>
        <w:right w:val="none" w:sz="0" w:space="0" w:color="auto"/>
      </w:divBdr>
    </w:div>
    <w:div w:id="1122726155">
      <w:bodyDiv w:val="1"/>
      <w:marLeft w:val="0"/>
      <w:marRight w:val="0"/>
      <w:marTop w:val="0"/>
      <w:marBottom w:val="0"/>
      <w:divBdr>
        <w:top w:val="none" w:sz="0" w:space="0" w:color="auto"/>
        <w:left w:val="none" w:sz="0" w:space="0" w:color="auto"/>
        <w:bottom w:val="none" w:sz="0" w:space="0" w:color="auto"/>
        <w:right w:val="none" w:sz="0" w:space="0" w:color="auto"/>
      </w:divBdr>
    </w:div>
    <w:div w:id="1146972790">
      <w:bodyDiv w:val="1"/>
      <w:marLeft w:val="0"/>
      <w:marRight w:val="0"/>
      <w:marTop w:val="0"/>
      <w:marBottom w:val="0"/>
      <w:divBdr>
        <w:top w:val="none" w:sz="0" w:space="0" w:color="auto"/>
        <w:left w:val="none" w:sz="0" w:space="0" w:color="auto"/>
        <w:bottom w:val="none" w:sz="0" w:space="0" w:color="auto"/>
        <w:right w:val="none" w:sz="0" w:space="0" w:color="auto"/>
      </w:divBdr>
    </w:div>
    <w:div w:id="1253972601">
      <w:bodyDiv w:val="1"/>
      <w:marLeft w:val="0"/>
      <w:marRight w:val="0"/>
      <w:marTop w:val="0"/>
      <w:marBottom w:val="0"/>
      <w:divBdr>
        <w:top w:val="none" w:sz="0" w:space="0" w:color="auto"/>
        <w:left w:val="none" w:sz="0" w:space="0" w:color="auto"/>
        <w:bottom w:val="none" w:sz="0" w:space="0" w:color="auto"/>
        <w:right w:val="none" w:sz="0" w:space="0" w:color="auto"/>
      </w:divBdr>
    </w:div>
    <w:div w:id="1278099288">
      <w:bodyDiv w:val="1"/>
      <w:marLeft w:val="0"/>
      <w:marRight w:val="0"/>
      <w:marTop w:val="0"/>
      <w:marBottom w:val="0"/>
      <w:divBdr>
        <w:top w:val="none" w:sz="0" w:space="0" w:color="auto"/>
        <w:left w:val="none" w:sz="0" w:space="0" w:color="auto"/>
        <w:bottom w:val="none" w:sz="0" w:space="0" w:color="auto"/>
        <w:right w:val="none" w:sz="0" w:space="0" w:color="auto"/>
      </w:divBdr>
    </w:div>
    <w:div w:id="1292786871">
      <w:bodyDiv w:val="1"/>
      <w:marLeft w:val="0"/>
      <w:marRight w:val="0"/>
      <w:marTop w:val="0"/>
      <w:marBottom w:val="0"/>
      <w:divBdr>
        <w:top w:val="none" w:sz="0" w:space="0" w:color="auto"/>
        <w:left w:val="none" w:sz="0" w:space="0" w:color="auto"/>
        <w:bottom w:val="none" w:sz="0" w:space="0" w:color="auto"/>
        <w:right w:val="none" w:sz="0" w:space="0" w:color="auto"/>
      </w:divBdr>
    </w:div>
    <w:div w:id="1296911657">
      <w:bodyDiv w:val="1"/>
      <w:marLeft w:val="0"/>
      <w:marRight w:val="0"/>
      <w:marTop w:val="0"/>
      <w:marBottom w:val="0"/>
      <w:divBdr>
        <w:top w:val="none" w:sz="0" w:space="0" w:color="auto"/>
        <w:left w:val="none" w:sz="0" w:space="0" w:color="auto"/>
        <w:bottom w:val="none" w:sz="0" w:space="0" w:color="auto"/>
        <w:right w:val="none" w:sz="0" w:space="0" w:color="auto"/>
      </w:divBdr>
    </w:div>
    <w:div w:id="1313094251">
      <w:bodyDiv w:val="1"/>
      <w:marLeft w:val="0"/>
      <w:marRight w:val="0"/>
      <w:marTop w:val="0"/>
      <w:marBottom w:val="0"/>
      <w:divBdr>
        <w:top w:val="none" w:sz="0" w:space="0" w:color="auto"/>
        <w:left w:val="none" w:sz="0" w:space="0" w:color="auto"/>
        <w:bottom w:val="none" w:sz="0" w:space="0" w:color="auto"/>
        <w:right w:val="none" w:sz="0" w:space="0" w:color="auto"/>
      </w:divBdr>
    </w:div>
    <w:div w:id="1336959636">
      <w:bodyDiv w:val="1"/>
      <w:marLeft w:val="0"/>
      <w:marRight w:val="0"/>
      <w:marTop w:val="0"/>
      <w:marBottom w:val="0"/>
      <w:divBdr>
        <w:top w:val="none" w:sz="0" w:space="0" w:color="auto"/>
        <w:left w:val="none" w:sz="0" w:space="0" w:color="auto"/>
        <w:bottom w:val="none" w:sz="0" w:space="0" w:color="auto"/>
        <w:right w:val="none" w:sz="0" w:space="0" w:color="auto"/>
      </w:divBdr>
    </w:div>
    <w:div w:id="1349866471">
      <w:bodyDiv w:val="1"/>
      <w:marLeft w:val="0"/>
      <w:marRight w:val="0"/>
      <w:marTop w:val="0"/>
      <w:marBottom w:val="0"/>
      <w:divBdr>
        <w:top w:val="none" w:sz="0" w:space="0" w:color="auto"/>
        <w:left w:val="none" w:sz="0" w:space="0" w:color="auto"/>
        <w:bottom w:val="none" w:sz="0" w:space="0" w:color="auto"/>
        <w:right w:val="none" w:sz="0" w:space="0" w:color="auto"/>
      </w:divBdr>
    </w:div>
    <w:div w:id="1373111596">
      <w:bodyDiv w:val="1"/>
      <w:marLeft w:val="0"/>
      <w:marRight w:val="0"/>
      <w:marTop w:val="0"/>
      <w:marBottom w:val="0"/>
      <w:divBdr>
        <w:top w:val="none" w:sz="0" w:space="0" w:color="auto"/>
        <w:left w:val="none" w:sz="0" w:space="0" w:color="auto"/>
        <w:bottom w:val="none" w:sz="0" w:space="0" w:color="auto"/>
        <w:right w:val="none" w:sz="0" w:space="0" w:color="auto"/>
      </w:divBdr>
    </w:div>
    <w:div w:id="1406295799">
      <w:bodyDiv w:val="1"/>
      <w:marLeft w:val="0"/>
      <w:marRight w:val="0"/>
      <w:marTop w:val="0"/>
      <w:marBottom w:val="0"/>
      <w:divBdr>
        <w:top w:val="none" w:sz="0" w:space="0" w:color="auto"/>
        <w:left w:val="none" w:sz="0" w:space="0" w:color="auto"/>
        <w:bottom w:val="none" w:sz="0" w:space="0" w:color="auto"/>
        <w:right w:val="none" w:sz="0" w:space="0" w:color="auto"/>
      </w:divBdr>
    </w:div>
    <w:div w:id="1408918494">
      <w:bodyDiv w:val="1"/>
      <w:marLeft w:val="0"/>
      <w:marRight w:val="0"/>
      <w:marTop w:val="0"/>
      <w:marBottom w:val="0"/>
      <w:divBdr>
        <w:top w:val="none" w:sz="0" w:space="0" w:color="auto"/>
        <w:left w:val="none" w:sz="0" w:space="0" w:color="auto"/>
        <w:bottom w:val="none" w:sz="0" w:space="0" w:color="auto"/>
        <w:right w:val="none" w:sz="0" w:space="0" w:color="auto"/>
      </w:divBdr>
    </w:div>
    <w:div w:id="1452748566">
      <w:bodyDiv w:val="1"/>
      <w:marLeft w:val="0"/>
      <w:marRight w:val="0"/>
      <w:marTop w:val="0"/>
      <w:marBottom w:val="0"/>
      <w:divBdr>
        <w:top w:val="none" w:sz="0" w:space="0" w:color="auto"/>
        <w:left w:val="none" w:sz="0" w:space="0" w:color="auto"/>
        <w:bottom w:val="none" w:sz="0" w:space="0" w:color="auto"/>
        <w:right w:val="none" w:sz="0" w:space="0" w:color="auto"/>
      </w:divBdr>
    </w:div>
    <w:div w:id="1487085910">
      <w:bodyDiv w:val="1"/>
      <w:marLeft w:val="0"/>
      <w:marRight w:val="0"/>
      <w:marTop w:val="0"/>
      <w:marBottom w:val="0"/>
      <w:divBdr>
        <w:top w:val="none" w:sz="0" w:space="0" w:color="auto"/>
        <w:left w:val="none" w:sz="0" w:space="0" w:color="auto"/>
        <w:bottom w:val="none" w:sz="0" w:space="0" w:color="auto"/>
        <w:right w:val="none" w:sz="0" w:space="0" w:color="auto"/>
      </w:divBdr>
    </w:div>
    <w:div w:id="1489859956">
      <w:bodyDiv w:val="1"/>
      <w:marLeft w:val="0"/>
      <w:marRight w:val="0"/>
      <w:marTop w:val="0"/>
      <w:marBottom w:val="0"/>
      <w:divBdr>
        <w:top w:val="none" w:sz="0" w:space="0" w:color="auto"/>
        <w:left w:val="none" w:sz="0" w:space="0" w:color="auto"/>
        <w:bottom w:val="none" w:sz="0" w:space="0" w:color="auto"/>
        <w:right w:val="none" w:sz="0" w:space="0" w:color="auto"/>
      </w:divBdr>
    </w:div>
    <w:div w:id="1497652227">
      <w:bodyDiv w:val="1"/>
      <w:marLeft w:val="0"/>
      <w:marRight w:val="0"/>
      <w:marTop w:val="0"/>
      <w:marBottom w:val="0"/>
      <w:divBdr>
        <w:top w:val="none" w:sz="0" w:space="0" w:color="auto"/>
        <w:left w:val="none" w:sz="0" w:space="0" w:color="auto"/>
        <w:bottom w:val="none" w:sz="0" w:space="0" w:color="auto"/>
        <w:right w:val="none" w:sz="0" w:space="0" w:color="auto"/>
      </w:divBdr>
    </w:div>
    <w:div w:id="1520504360">
      <w:bodyDiv w:val="1"/>
      <w:marLeft w:val="0"/>
      <w:marRight w:val="0"/>
      <w:marTop w:val="0"/>
      <w:marBottom w:val="0"/>
      <w:divBdr>
        <w:top w:val="none" w:sz="0" w:space="0" w:color="auto"/>
        <w:left w:val="none" w:sz="0" w:space="0" w:color="auto"/>
        <w:bottom w:val="none" w:sz="0" w:space="0" w:color="auto"/>
        <w:right w:val="none" w:sz="0" w:space="0" w:color="auto"/>
      </w:divBdr>
    </w:div>
    <w:div w:id="1543786895">
      <w:bodyDiv w:val="1"/>
      <w:marLeft w:val="0"/>
      <w:marRight w:val="0"/>
      <w:marTop w:val="0"/>
      <w:marBottom w:val="0"/>
      <w:divBdr>
        <w:top w:val="none" w:sz="0" w:space="0" w:color="auto"/>
        <w:left w:val="none" w:sz="0" w:space="0" w:color="auto"/>
        <w:bottom w:val="none" w:sz="0" w:space="0" w:color="auto"/>
        <w:right w:val="none" w:sz="0" w:space="0" w:color="auto"/>
      </w:divBdr>
    </w:div>
    <w:div w:id="1544827112">
      <w:bodyDiv w:val="1"/>
      <w:marLeft w:val="0"/>
      <w:marRight w:val="0"/>
      <w:marTop w:val="0"/>
      <w:marBottom w:val="0"/>
      <w:divBdr>
        <w:top w:val="none" w:sz="0" w:space="0" w:color="auto"/>
        <w:left w:val="none" w:sz="0" w:space="0" w:color="auto"/>
        <w:bottom w:val="none" w:sz="0" w:space="0" w:color="auto"/>
        <w:right w:val="none" w:sz="0" w:space="0" w:color="auto"/>
      </w:divBdr>
    </w:div>
    <w:div w:id="1545675233">
      <w:bodyDiv w:val="1"/>
      <w:marLeft w:val="0"/>
      <w:marRight w:val="0"/>
      <w:marTop w:val="0"/>
      <w:marBottom w:val="0"/>
      <w:divBdr>
        <w:top w:val="none" w:sz="0" w:space="0" w:color="auto"/>
        <w:left w:val="none" w:sz="0" w:space="0" w:color="auto"/>
        <w:bottom w:val="none" w:sz="0" w:space="0" w:color="auto"/>
        <w:right w:val="none" w:sz="0" w:space="0" w:color="auto"/>
      </w:divBdr>
    </w:div>
    <w:div w:id="1570529492">
      <w:bodyDiv w:val="1"/>
      <w:marLeft w:val="0"/>
      <w:marRight w:val="0"/>
      <w:marTop w:val="0"/>
      <w:marBottom w:val="0"/>
      <w:divBdr>
        <w:top w:val="none" w:sz="0" w:space="0" w:color="auto"/>
        <w:left w:val="none" w:sz="0" w:space="0" w:color="auto"/>
        <w:bottom w:val="none" w:sz="0" w:space="0" w:color="auto"/>
        <w:right w:val="none" w:sz="0" w:space="0" w:color="auto"/>
      </w:divBdr>
    </w:div>
    <w:div w:id="1571696242">
      <w:bodyDiv w:val="1"/>
      <w:marLeft w:val="0"/>
      <w:marRight w:val="0"/>
      <w:marTop w:val="0"/>
      <w:marBottom w:val="0"/>
      <w:divBdr>
        <w:top w:val="none" w:sz="0" w:space="0" w:color="auto"/>
        <w:left w:val="none" w:sz="0" w:space="0" w:color="auto"/>
        <w:bottom w:val="none" w:sz="0" w:space="0" w:color="auto"/>
        <w:right w:val="none" w:sz="0" w:space="0" w:color="auto"/>
      </w:divBdr>
    </w:div>
    <w:div w:id="1577326504">
      <w:bodyDiv w:val="1"/>
      <w:marLeft w:val="0"/>
      <w:marRight w:val="0"/>
      <w:marTop w:val="0"/>
      <w:marBottom w:val="0"/>
      <w:divBdr>
        <w:top w:val="none" w:sz="0" w:space="0" w:color="auto"/>
        <w:left w:val="none" w:sz="0" w:space="0" w:color="auto"/>
        <w:bottom w:val="none" w:sz="0" w:space="0" w:color="auto"/>
        <w:right w:val="none" w:sz="0" w:space="0" w:color="auto"/>
      </w:divBdr>
    </w:div>
    <w:div w:id="1641957441">
      <w:bodyDiv w:val="1"/>
      <w:marLeft w:val="0"/>
      <w:marRight w:val="0"/>
      <w:marTop w:val="0"/>
      <w:marBottom w:val="0"/>
      <w:divBdr>
        <w:top w:val="none" w:sz="0" w:space="0" w:color="auto"/>
        <w:left w:val="none" w:sz="0" w:space="0" w:color="auto"/>
        <w:bottom w:val="none" w:sz="0" w:space="0" w:color="auto"/>
        <w:right w:val="none" w:sz="0" w:space="0" w:color="auto"/>
      </w:divBdr>
    </w:div>
    <w:div w:id="1661884720">
      <w:bodyDiv w:val="1"/>
      <w:marLeft w:val="0"/>
      <w:marRight w:val="0"/>
      <w:marTop w:val="0"/>
      <w:marBottom w:val="0"/>
      <w:divBdr>
        <w:top w:val="none" w:sz="0" w:space="0" w:color="auto"/>
        <w:left w:val="none" w:sz="0" w:space="0" w:color="auto"/>
        <w:bottom w:val="none" w:sz="0" w:space="0" w:color="auto"/>
        <w:right w:val="none" w:sz="0" w:space="0" w:color="auto"/>
      </w:divBdr>
    </w:div>
    <w:div w:id="1669792664">
      <w:bodyDiv w:val="1"/>
      <w:marLeft w:val="0"/>
      <w:marRight w:val="0"/>
      <w:marTop w:val="0"/>
      <w:marBottom w:val="0"/>
      <w:divBdr>
        <w:top w:val="none" w:sz="0" w:space="0" w:color="auto"/>
        <w:left w:val="none" w:sz="0" w:space="0" w:color="auto"/>
        <w:bottom w:val="none" w:sz="0" w:space="0" w:color="auto"/>
        <w:right w:val="none" w:sz="0" w:space="0" w:color="auto"/>
      </w:divBdr>
    </w:div>
    <w:div w:id="1684628937">
      <w:bodyDiv w:val="1"/>
      <w:marLeft w:val="0"/>
      <w:marRight w:val="0"/>
      <w:marTop w:val="0"/>
      <w:marBottom w:val="0"/>
      <w:divBdr>
        <w:top w:val="none" w:sz="0" w:space="0" w:color="auto"/>
        <w:left w:val="none" w:sz="0" w:space="0" w:color="auto"/>
        <w:bottom w:val="none" w:sz="0" w:space="0" w:color="auto"/>
        <w:right w:val="none" w:sz="0" w:space="0" w:color="auto"/>
      </w:divBdr>
    </w:div>
    <w:div w:id="1690908268">
      <w:bodyDiv w:val="1"/>
      <w:marLeft w:val="0"/>
      <w:marRight w:val="0"/>
      <w:marTop w:val="0"/>
      <w:marBottom w:val="0"/>
      <w:divBdr>
        <w:top w:val="none" w:sz="0" w:space="0" w:color="auto"/>
        <w:left w:val="none" w:sz="0" w:space="0" w:color="auto"/>
        <w:bottom w:val="none" w:sz="0" w:space="0" w:color="auto"/>
        <w:right w:val="none" w:sz="0" w:space="0" w:color="auto"/>
      </w:divBdr>
    </w:div>
    <w:div w:id="1707096788">
      <w:bodyDiv w:val="1"/>
      <w:marLeft w:val="0"/>
      <w:marRight w:val="0"/>
      <w:marTop w:val="0"/>
      <w:marBottom w:val="0"/>
      <w:divBdr>
        <w:top w:val="none" w:sz="0" w:space="0" w:color="auto"/>
        <w:left w:val="none" w:sz="0" w:space="0" w:color="auto"/>
        <w:bottom w:val="none" w:sz="0" w:space="0" w:color="auto"/>
        <w:right w:val="none" w:sz="0" w:space="0" w:color="auto"/>
      </w:divBdr>
    </w:div>
    <w:div w:id="1707561088">
      <w:bodyDiv w:val="1"/>
      <w:marLeft w:val="0"/>
      <w:marRight w:val="0"/>
      <w:marTop w:val="0"/>
      <w:marBottom w:val="0"/>
      <w:divBdr>
        <w:top w:val="none" w:sz="0" w:space="0" w:color="auto"/>
        <w:left w:val="none" w:sz="0" w:space="0" w:color="auto"/>
        <w:bottom w:val="none" w:sz="0" w:space="0" w:color="auto"/>
        <w:right w:val="none" w:sz="0" w:space="0" w:color="auto"/>
      </w:divBdr>
    </w:div>
    <w:div w:id="1776291351">
      <w:bodyDiv w:val="1"/>
      <w:marLeft w:val="0"/>
      <w:marRight w:val="0"/>
      <w:marTop w:val="0"/>
      <w:marBottom w:val="0"/>
      <w:divBdr>
        <w:top w:val="none" w:sz="0" w:space="0" w:color="auto"/>
        <w:left w:val="none" w:sz="0" w:space="0" w:color="auto"/>
        <w:bottom w:val="none" w:sz="0" w:space="0" w:color="auto"/>
        <w:right w:val="none" w:sz="0" w:space="0" w:color="auto"/>
      </w:divBdr>
    </w:div>
    <w:div w:id="1784029462">
      <w:bodyDiv w:val="1"/>
      <w:marLeft w:val="0"/>
      <w:marRight w:val="0"/>
      <w:marTop w:val="0"/>
      <w:marBottom w:val="0"/>
      <w:divBdr>
        <w:top w:val="none" w:sz="0" w:space="0" w:color="auto"/>
        <w:left w:val="none" w:sz="0" w:space="0" w:color="auto"/>
        <w:bottom w:val="none" w:sz="0" w:space="0" w:color="auto"/>
        <w:right w:val="none" w:sz="0" w:space="0" w:color="auto"/>
      </w:divBdr>
    </w:div>
    <w:div w:id="1785687964">
      <w:bodyDiv w:val="1"/>
      <w:marLeft w:val="0"/>
      <w:marRight w:val="0"/>
      <w:marTop w:val="0"/>
      <w:marBottom w:val="0"/>
      <w:divBdr>
        <w:top w:val="none" w:sz="0" w:space="0" w:color="auto"/>
        <w:left w:val="none" w:sz="0" w:space="0" w:color="auto"/>
        <w:bottom w:val="none" w:sz="0" w:space="0" w:color="auto"/>
        <w:right w:val="none" w:sz="0" w:space="0" w:color="auto"/>
      </w:divBdr>
    </w:div>
    <w:div w:id="1790970093">
      <w:bodyDiv w:val="1"/>
      <w:marLeft w:val="0"/>
      <w:marRight w:val="0"/>
      <w:marTop w:val="0"/>
      <w:marBottom w:val="0"/>
      <w:divBdr>
        <w:top w:val="none" w:sz="0" w:space="0" w:color="auto"/>
        <w:left w:val="none" w:sz="0" w:space="0" w:color="auto"/>
        <w:bottom w:val="none" w:sz="0" w:space="0" w:color="auto"/>
        <w:right w:val="none" w:sz="0" w:space="0" w:color="auto"/>
      </w:divBdr>
    </w:div>
    <w:div w:id="1855028268">
      <w:bodyDiv w:val="1"/>
      <w:marLeft w:val="0"/>
      <w:marRight w:val="0"/>
      <w:marTop w:val="0"/>
      <w:marBottom w:val="0"/>
      <w:divBdr>
        <w:top w:val="none" w:sz="0" w:space="0" w:color="auto"/>
        <w:left w:val="none" w:sz="0" w:space="0" w:color="auto"/>
        <w:bottom w:val="none" w:sz="0" w:space="0" w:color="auto"/>
        <w:right w:val="none" w:sz="0" w:space="0" w:color="auto"/>
      </w:divBdr>
    </w:div>
    <w:div w:id="1907296086">
      <w:bodyDiv w:val="1"/>
      <w:marLeft w:val="0"/>
      <w:marRight w:val="0"/>
      <w:marTop w:val="0"/>
      <w:marBottom w:val="0"/>
      <w:divBdr>
        <w:top w:val="none" w:sz="0" w:space="0" w:color="auto"/>
        <w:left w:val="none" w:sz="0" w:space="0" w:color="auto"/>
        <w:bottom w:val="none" w:sz="0" w:space="0" w:color="auto"/>
        <w:right w:val="none" w:sz="0" w:space="0" w:color="auto"/>
      </w:divBdr>
    </w:div>
    <w:div w:id="1977954361">
      <w:bodyDiv w:val="1"/>
      <w:marLeft w:val="0"/>
      <w:marRight w:val="0"/>
      <w:marTop w:val="0"/>
      <w:marBottom w:val="0"/>
      <w:divBdr>
        <w:top w:val="none" w:sz="0" w:space="0" w:color="auto"/>
        <w:left w:val="none" w:sz="0" w:space="0" w:color="auto"/>
        <w:bottom w:val="none" w:sz="0" w:space="0" w:color="auto"/>
        <w:right w:val="none" w:sz="0" w:space="0" w:color="auto"/>
      </w:divBdr>
    </w:div>
    <w:div w:id="2029596442">
      <w:bodyDiv w:val="1"/>
      <w:marLeft w:val="0"/>
      <w:marRight w:val="0"/>
      <w:marTop w:val="0"/>
      <w:marBottom w:val="0"/>
      <w:divBdr>
        <w:top w:val="none" w:sz="0" w:space="0" w:color="auto"/>
        <w:left w:val="none" w:sz="0" w:space="0" w:color="auto"/>
        <w:bottom w:val="none" w:sz="0" w:space="0" w:color="auto"/>
        <w:right w:val="none" w:sz="0" w:space="0" w:color="auto"/>
      </w:divBdr>
    </w:div>
    <w:div w:id="2029863973">
      <w:bodyDiv w:val="1"/>
      <w:marLeft w:val="0"/>
      <w:marRight w:val="0"/>
      <w:marTop w:val="0"/>
      <w:marBottom w:val="0"/>
      <w:divBdr>
        <w:top w:val="none" w:sz="0" w:space="0" w:color="auto"/>
        <w:left w:val="none" w:sz="0" w:space="0" w:color="auto"/>
        <w:bottom w:val="none" w:sz="0" w:space="0" w:color="auto"/>
        <w:right w:val="none" w:sz="0" w:space="0" w:color="auto"/>
      </w:divBdr>
    </w:div>
    <w:div w:id="2032685434">
      <w:bodyDiv w:val="1"/>
      <w:marLeft w:val="0"/>
      <w:marRight w:val="0"/>
      <w:marTop w:val="0"/>
      <w:marBottom w:val="0"/>
      <w:divBdr>
        <w:top w:val="none" w:sz="0" w:space="0" w:color="auto"/>
        <w:left w:val="none" w:sz="0" w:space="0" w:color="auto"/>
        <w:bottom w:val="none" w:sz="0" w:space="0" w:color="auto"/>
        <w:right w:val="none" w:sz="0" w:space="0" w:color="auto"/>
      </w:divBdr>
    </w:div>
    <w:div w:id="2046368556">
      <w:bodyDiv w:val="1"/>
      <w:marLeft w:val="0"/>
      <w:marRight w:val="0"/>
      <w:marTop w:val="0"/>
      <w:marBottom w:val="0"/>
      <w:divBdr>
        <w:top w:val="none" w:sz="0" w:space="0" w:color="auto"/>
        <w:left w:val="none" w:sz="0" w:space="0" w:color="auto"/>
        <w:bottom w:val="none" w:sz="0" w:space="0" w:color="auto"/>
        <w:right w:val="none" w:sz="0" w:space="0" w:color="auto"/>
      </w:divBdr>
    </w:div>
    <w:div w:id="2047826874">
      <w:bodyDiv w:val="1"/>
      <w:marLeft w:val="0"/>
      <w:marRight w:val="0"/>
      <w:marTop w:val="0"/>
      <w:marBottom w:val="0"/>
      <w:divBdr>
        <w:top w:val="none" w:sz="0" w:space="0" w:color="auto"/>
        <w:left w:val="none" w:sz="0" w:space="0" w:color="auto"/>
        <w:bottom w:val="none" w:sz="0" w:space="0" w:color="auto"/>
        <w:right w:val="none" w:sz="0" w:space="0" w:color="auto"/>
      </w:divBdr>
    </w:div>
    <w:div w:id="2047829899">
      <w:bodyDiv w:val="1"/>
      <w:marLeft w:val="0"/>
      <w:marRight w:val="0"/>
      <w:marTop w:val="0"/>
      <w:marBottom w:val="0"/>
      <w:divBdr>
        <w:top w:val="none" w:sz="0" w:space="0" w:color="auto"/>
        <w:left w:val="none" w:sz="0" w:space="0" w:color="auto"/>
        <w:bottom w:val="none" w:sz="0" w:space="0" w:color="auto"/>
        <w:right w:val="none" w:sz="0" w:space="0" w:color="auto"/>
      </w:divBdr>
    </w:div>
    <w:div w:id="205901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222</TotalTime>
  <Pages>11</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羊羊羊杨儿</dc:creator>
  <cp:lastModifiedBy>wujian</cp:lastModifiedBy>
  <cp:revision>80</cp:revision>
  <cp:lastPrinted>2019-06-17T09:24:00Z</cp:lastPrinted>
  <dcterms:created xsi:type="dcterms:W3CDTF">2018-05-07T12:45:00Z</dcterms:created>
  <dcterms:modified xsi:type="dcterms:W3CDTF">2022-06-21T12:06:00Z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